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1000" w:lineRule="exact"/>
        <w:jc w:val="center"/>
        <w:rPr>
          <w:rFonts w:ascii="宋体"/>
          <w:b/>
          <w:bCs/>
          <w:color w:val="000000"/>
          <w:spacing w:val="-20"/>
          <w:w w:val="95"/>
          <w:sz w:val="52"/>
          <w:szCs w:val="52"/>
        </w:rPr>
      </w:pPr>
    </w:p>
    <w:p>
      <w:pPr>
        <w:jc w:val="center"/>
        <w:rPr>
          <w:rFonts w:ascii="宋体"/>
          <w:b/>
          <w:bCs/>
          <w:color w:val="000000"/>
          <w:spacing w:val="-20"/>
          <w:w w:val="95"/>
          <w:sz w:val="52"/>
          <w:szCs w:val="52"/>
        </w:rPr>
      </w:pPr>
    </w:p>
    <w:p>
      <w:pPr>
        <w:jc w:val="center"/>
        <w:rPr>
          <w:rFonts w:hint="eastAsia" w:ascii="方正小标宋_GBK" w:hAnsi="方正小标宋_GBK" w:eastAsia="方正小标宋_GBK" w:cs="方正小标宋_GBK"/>
          <w:b w:val="0"/>
          <w:bCs w:val="0"/>
          <w:sz w:val="52"/>
          <w:szCs w:val="52"/>
        </w:rPr>
      </w:pPr>
      <w:r>
        <w:rPr>
          <w:rFonts w:hint="eastAsia" w:ascii="宋体"/>
          <w:b/>
          <w:bCs/>
          <w:color w:val="000000"/>
          <w:spacing w:val="-20"/>
          <w:w w:val="95"/>
          <w:sz w:val="52"/>
          <w:szCs w:val="52"/>
        </w:rPr>
        <w:br w:type="textWrapping"/>
      </w:r>
      <w:r>
        <w:rPr>
          <w:rFonts w:hint="eastAsia" w:ascii="方正小标宋_GBK" w:hAnsi="方正小标宋_GBK" w:eastAsia="方正小标宋_GBK" w:cs="方正小标宋_GBK"/>
          <w:b w:val="0"/>
          <w:bCs w:val="0"/>
          <w:sz w:val="52"/>
          <w:szCs w:val="52"/>
        </w:rPr>
        <w:t>海南博鳌乐城国际医疗旅游</w:t>
      </w:r>
    </w:p>
    <w:p>
      <w:pPr>
        <w:jc w:val="center"/>
        <w:rPr>
          <w:rFonts w:hint="eastAsia" w:ascii="方正小标宋_GBK" w:hAnsi="方正小标宋_GBK" w:eastAsia="方正小标宋_GBK" w:cs="方正小标宋_GBK"/>
          <w:b w:val="0"/>
          <w:bCs w:val="0"/>
          <w:sz w:val="52"/>
          <w:szCs w:val="52"/>
        </w:rPr>
      </w:pPr>
      <w:r>
        <w:rPr>
          <w:rFonts w:hint="eastAsia" w:ascii="方正小标宋_GBK" w:hAnsi="方正小标宋_GBK" w:eastAsia="方正小标宋_GBK" w:cs="方正小标宋_GBK"/>
          <w:b w:val="0"/>
          <w:bCs w:val="0"/>
          <w:sz w:val="52"/>
          <w:szCs w:val="52"/>
        </w:rPr>
        <w:t>先行区海外就医回流统计监测制度</w:t>
      </w:r>
    </w:p>
    <w:p>
      <w:pPr>
        <w:rPr>
          <w:rFonts w:ascii="楷体_GB2312" w:eastAsia="楷体_GB2312"/>
          <w:color w:val="000000"/>
          <w:sz w:val="32"/>
        </w:rPr>
      </w:pPr>
    </w:p>
    <w:p>
      <w:pPr>
        <w:rPr>
          <w:rFonts w:ascii="楷体_GB2312" w:eastAsia="楷体_GB2312"/>
          <w:color w:val="000000"/>
          <w:sz w:val="32"/>
        </w:rPr>
      </w:pPr>
    </w:p>
    <w:p>
      <w:pPr>
        <w:rPr>
          <w:rFonts w:ascii="宋体"/>
          <w:color w:val="000000"/>
        </w:rPr>
      </w:pPr>
    </w:p>
    <w:p>
      <w:pPr>
        <w:rPr>
          <w:rFonts w:ascii="宋体"/>
          <w:color w:val="000000"/>
        </w:rPr>
      </w:pPr>
    </w:p>
    <w:p>
      <w:pPr>
        <w:rPr>
          <w:rFonts w:ascii="楷体_GB2312" w:eastAsia="楷体_GB2312"/>
          <w:color w:val="000000"/>
          <w:sz w:val="32"/>
        </w:rPr>
      </w:pPr>
    </w:p>
    <w:p>
      <w:pPr>
        <w:tabs>
          <w:tab w:val="left" w:pos="1565"/>
          <w:tab w:val="left" w:pos="3556"/>
        </w:tabs>
        <w:rPr>
          <w:rFonts w:ascii="宋体"/>
          <w:color w:val="000000"/>
        </w:rPr>
      </w:pPr>
    </w:p>
    <w:p>
      <w:pPr>
        <w:tabs>
          <w:tab w:val="left" w:pos="1565"/>
          <w:tab w:val="left" w:pos="3556"/>
        </w:tabs>
        <w:rPr>
          <w:rFonts w:ascii="宋体"/>
          <w:color w:val="000000"/>
        </w:rPr>
      </w:pPr>
    </w:p>
    <w:p>
      <w:pPr>
        <w:rPr>
          <w:rFonts w:ascii="宋体"/>
          <w:color w:val="000000"/>
        </w:rPr>
      </w:pPr>
    </w:p>
    <w:p>
      <w:pPr>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rPr>
          <w:rFonts w:ascii="宋体"/>
          <w:color w:val="000000"/>
        </w:rPr>
      </w:pPr>
    </w:p>
    <w:p>
      <w:pPr>
        <w:pStyle w:val="3"/>
        <w:spacing w:line="600" w:lineRule="exact"/>
      </w:pPr>
    </w:p>
    <w:p>
      <w:pPr>
        <w:pStyle w:val="3"/>
        <w:spacing w:line="600" w:lineRule="exact"/>
      </w:pPr>
    </w:p>
    <w:p>
      <w:pPr>
        <w:spacing w:line="600" w:lineRule="exact"/>
        <w:jc w:val="center"/>
        <w:rPr>
          <w:rFonts w:ascii="宋体"/>
          <w:color w:val="000000"/>
        </w:rPr>
      </w:pPr>
    </w:p>
    <w:p>
      <w:pPr>
        <w:tabs>
          <w:tab w:val="center" w:pos="4706"/>
          <w:tab w:val="left" w:pos="8355"/>
        </w:tabs>
        <w:spacing w:line="600" w:lineRule="exact"/>
        <w:jc w:val="center"/>
        <w:rPr>
          <w:rFonts w:ascii="黑体" w:eastAsia="黑体"/>
          <w:color w:val="000000"/>
          <w:sz w:val="32"/>
        </w:rPr>
      </w:pPr>
      <w:r>
        <w:rPr>
          <w:rFonts w:hint="eastAsia" w:ascii="黑体" w:eastAsia="黑体"/>
          <w:color w:val="000000"/>
          <w:sz w:val="32"/>
        </w:rPr>
        <w:t>海南博鳌乐城国际医疗旅游先行区管理局制定</w:t>
      </w:r>
    </w:p>
    <w:p>
      <w:pPr>
        <w:spacing w:line="600" w:lineRule="exact"/>
        <w:jc w:val="center"/>
        <w:rPr>
          <w:rFonts w:ascii="黑体" w:eastAsia="黑体"/>
          <w:color w:val="000000"/>
          <w:sz w:val="32"/>
        </w:rPr>
        <w:sectPr>
          <w:headerReference r:id="rId3" w:type="default"/>
          <w:headerReference r:id="rId4" w:type="even"/>
          <w:pgSz w:w="11907" w:h="16840"/>
          <w:pgMar w:top="1418" w:right="1247" w:bottom="1247" w:left="1247" w:header="851" w:footer="851" w:gutter="0"/>
          <w:pgNumType w:fmt="numberInDash"/>
          <w:cols w:space="720" w:num="1"/>
          <w:docGrid w:linePitch="312" w:charSpace="0"/>
        </w:sectPr>
      </w:pPr>
      <w:r>
        <w:rPr>
          <w:rFonts w:hint="eastAsia" w:ascii="黑体" w:eastAsia="黑体"/>
          <w:color w:val="000000"/>
          <w:sz w:val="32"/>
        </w:rPr>
        <w:t>2025年8月</w:t>
      </w:r>
    </w:p>
    <w:p>
      <w:pPr>
        <w:pStyle w:val="3"/>
        <w:ind w:left="0" w:leftChars="0" w:firstLine="0" w:firstLineChars="0"/>
      </w:pPr>
    </w:p>
    <w:p>
      <w:pPr>
        <w:keepNext w:val="0"/>
        <w:keepLines w:val="0"/>
        <w:widowControl/>
        <w:suppressLineNumbers w:val="0"/>
        <w:kinsoku w:val="0"/>
        <w:autoSpaceDE w:val="0"/>
        <w:autoSpaceDN w:val="0"/>
        <w:adjustRightInd w:val="0"/>
        <w:snapToGrid w:val="0"/>
        <w:spacing w:before="120" w:beforeLines="50" w:beforeAutospacing="0" w:after="0" w:afterAutospacing="0"/>
        <w:ind w:left="0" w:right="0"/>
        <w:jc w:val="center"/>
        <w:textAlignment w:val="baseline"/>
        <w:rPr>
          <w:rFonts w:hint="eastAsia" w:ascii="宋体" w:hAnsi="Arial" w:eastAsia="Arial" w:cs="Arial"/>
          <w:b/>
          <w:bCs/>
          <w:color w:val="auto"/>
          <w:spacing w:val="0"/>
          <w:w w:val="95"/>
          <w:kern w:val="0"/>
          <w:sz w:val="32"/>
          <w:szCs w:val="32"/>
        </w:rPr>
      </w:pPr>
      <w:r>
        <w:rPr>
          <w:rFonts w:hint="default" w:ascii="Arial" w:hAnsi="Arial" w:cs="Arial"/>
          <w:b/>
          <w:bCs/>
          <w:snapToGrid/>
          <w:color w:val="auto"/>
          <w:spacing w:val="0"/>
          <w:w w:val="95"/>
          <w:kern w:val="0"/>
          <w:sz w:val="32"/>
          <w:szCs w:val="32"/>
          <w:lang w:val="en-US" w:eastAsia="zh-CN" w:bidi="ar"/>
        </w:rPr>
        <w:t>本调查制度根据《中华人民共和国统计法》的有关规定制定</w:t>
      </w:r>
    </w:p>
    <w:p>
      <w:pPr>
        <w:spacing w:line="360" w:lineRule="auto"/>
        <w:ind w:firstLine="560" w:firstLineChars="200"/>
        <w:rPr>
          <w:rFonts w:hint="eastAsia" w:eastAsia="仿宋_GB2312"/>
          <w:bCs/>
          <w:color w:val="000000"/>
          <w:sz w:val="28"/>
        </w:rPr>
      </w:pPr>
    </w:p>
    <w:p>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textAlignment w:val="baseline"/>
        <w:rPr>
          <w:rFonts w:hint="default" w:ascii="Arial" w:hAnsi="Arial" w:eastAsia="仿宋_GB2312" w:cs="Arial"/>
          <w:b/>
          <w:bCs/>
          <w:color w:val="auto"/>
          <w:kern w:val="0"/>
          <w:sz w:val="28"/>
          <w:szCs w:val="28"/>
        </w:rPr>
      </w:pPr>
      <w:r>
        <w:rPr>
          <w:rFonts w:hint="eastAsia" w:ascii="仿宋_GB2312" w:hAnsi="Arial" w:eastAsia="仿宋_GB2312" w:cs="仿宋_GB2312"/>
          <w:bCs/>
          <w:snapToGrid/>
          <w:color w:val="auto"/>
          <w:kern w:val="0"/>
          <w:sz w:val="28"/>
          <w:szCs w:val="28"/>
          <w:lang w:val="en-US" w:eastAsia="zh-CN" w:bidi="ar"/>
        </w:rPr>
        <w:t>《中华人民共和国统计法》第八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firstLine="560" w:firstLineChars="200"/>
        <w:jc w:val="left"/>
        <w:textAlignment w:val="baseline"/>
        <w:rPr>
          <w:rFonts w:hint="eastAsia" w:ascii="Arial" w:hAnsi="Arial" w:eastAsia="仿宋_GB2312" w:cs="Arial"/>
          <w:bCs/>
          <w:color w:val="auto"/>
          <w:kern w:val="0"/>
          <w:sz w:val="28"/>
          <w:szCs w:val="28"/>
        </w:rPr>
      </w:pPr>
      <w:r>
        <w:rPr>
          <w:rFonts w:hint="eastAsia" w:ascii="仿宋_GB2312" w:hAnsi="Arial" w:eastAsia="仿宋_GB2312" w:cs="仿宋_GB2312"/>
          <w:bCs/>
          <w:snapToGrid/>
          <w:color w:val="auto"/>
          <w:kern w:val="0"/>
          <w:sz w:val="28"/>
          <w:szCs w:val="28"/>
          <w:lang w:val="en-US" w:eastAsia="zh-CN" w:bidi="ar"/>
        </w:rPr>
        <w:t>《中华人民共和国统计法》第十一条规定：统计机构和统计人员对在统计工作中知悉的国家秘密、工作秘密、商业秘密、个人隐私和个人信息，应当予以保密，不得泄露或者向他人非法提供。</w:t>
      </w:r>
    </w:p>
    <w:p>
      <w:pPr>
        <w:spacing w:line="360" w:lineRule="auto"/>
        <w:ind w:firstLine="560" w:firstLineChars="200"/>
        <w:rPr>
          <w:rFonts w:eastAsia="仿宋_GB2312"/>
          <w:bCs/>
          <w:sz w:val="28"/>
        </w:rPr>
      </w:pPr>
      <w:r>
        <w:rPr>
          <w:rFonts w:hint="eastAsia" w:ascii="仿宋_GB2312" w:hAnsi="Times New Roman" w:eastAsia="仿宋_GB2312" w:cs="仿宋_GB2312"/>
          <w:bCs/>
          <w:snapToGrid/>
          <w:color w:val="auto"/>
          <w:kern w:val="0"/>
          <w:sz w:val="28"/>
          <w:szCs w:val="28"/>
          <w:lang w:val="en-US" w:eastAsia="zh-CN" w:bidi="ar"/>
        </w:rPr>
        <w:t>《中华人民共和国统计法》第二十八条规定：统计调查中获得的能够识别或者推断单个统计调查对象身份的资料,任何单位和个人不得对外提供、泄露,不得用于统计以外的目的</w:t>
      </w:r>
      <w:r>
        <w:rPr>
          <w:rFonts w:hint="eastAsia" w:eastAsia="仿宋_GB2312"/>
          <w:bCs/>
          <w:sz w:val="28"/>
        </w:rPr>
        <w:t>。</w:t>
      </w:r>
    </w:p>
    <w:p>
      <w:pPr>
        <w:spacing w:line="360" w:lineRule="auto"/>
        <w:ind w:firstLine="560" w:firstLineChars="200"/>
        <w:rPr>
          <w:rFonts w:eastAsia="仿宋_GB2312"/>
          <w:bCs/>
          <w:color w:val="000000"/>
          <w:sz w:val="28"/>
        </w:rPr>
      </w:pPr>
    </w:p>
    <w:p>
      <w:pPr>
        <w:spacing w:line="480" w:lineRule="exact"/>
        <w:ind w:firstLine="561"/>
        <w:rPr>
          <w:rFonts w:ascii="宋体"/>
          <w:color w:val="000000"/>
          <w:spacing w:val="-8"/>
          <w:sz w:val="28"/>
        </w:rPr>
      </w:pPr>
    </w:p>
    <w:p>
      <w:pPr>
        <w:spacing w:line="480" w:lineRule="exact"/>
        <w:ind w:firstLine="561"/>
        <w:rPr>
          <w:rFonts w:ascii="宋体"/>
          <w:color w:val="000000"/>
          <w:spacing w:val="-8"/>
          <w:sz w:val="28"/>
        </w:rPr>
      </w:pPr>
    </w:p>
    <w:p>
      <w:pPr>
        <w:spacing w:line="360" w:lineRule="exact"/>
        <w:rPr>
          <w:rFonts w:ascii="宋体"/>
          <w:color w:val="000000"/>
          <w:spacing w:val="-8"/>
          <w:sz w:val="28"/>
        </w:rPr>
      </w:pPr>
    </w:p>
    <w:p>
      <w:pPr>
        <w:spacing w:line="360" w:lineRule="exact"/>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pStyle w:val="3"/>
      </w:pPr>
    </w:p>
    <w:p>
      <w:pPr>
        <w:spacing w:line="360" w:lineRule="exact"/>
        <w:rPr>
          <w:rFonts w:ascii="宋体"/>
          <w:color w:val="000000"/>
          <w:sz w:val="28"/>
        </w:rPr>
      </w:pPr>
    </w:p>
    <w:p>
      <w:pPr>
        <w:pStyle w:val="3"/>
        <w:ind w:left="0" w:leftChars="0" w:firstLine="0" w:firstLineChars="0"/>
        <w:rPr>
          <w:rFonts w:ascii="宋体"/>
          <w:color w:val="000000"/>
          <w:sz w:val="28"/>
        </w:rPr>
      </w:pPr>
    </w:p>
    <w:p>
      <w:pPr>
        <w:pStyle w:val="3"/>
        <w:rPr>
          <w:rFonts w:ascii="宋体"/>
          <w:color w:val="000000"/>
          <w:sz w:val="28"/>
        </w:rPr>
      </w:pPr>
    </w:p>
    <w:p>
      <w:pPr>
        <w:spacing w:line="360" w:lineRule="exact"/>
        <w:rPr>
          <w:rFonts w:ascii="宋体"/>
          <w:color w:val="000000"/>
          <w:sz w:val="28"/>
        </w:rPr>
      </w:pPr>
    </w:p>
    <w:p>
      <w:pPr>
        <w:spacing w:line="360" w:lineRule="exact"/>
        <w:rPr>
          <w:rFonts w:ascii="宋体"/>
          <w:color w:val="000000"/>
          <w:sz w:val="28"/>
        </w:rPr>
      </w:pPr>
    </w:p>
    <w:p>
      <w:pPr>
        <w:jc w:val="center"/>
        <w:rPr>
          <w:rFonts w:ascii="宋体"/>
          <w:b/>
          <w:color w:val="000000"/>
          <w:sz w:val="28"/>
        </w:rPr>
      </w:pPr>
      <w:r>
        <w:rPr>
          <w:rFonts w:hint="eastAsia" w:ascii="宋体"/>
          <w:color w:val="000000"/>
          <w:sz w:val="28"/>
        </w:rPr>
        <w:t>本制度由海南博鳌乐城国际医疗旅游先行区管理局负责解释</w:t>
      </w:r>
      <w:r>
        <w:rPr>
          <w:rFonts w:hint="eastAsia" w:ascii="宋体"/>
          <w:b/>
          <w:color w:val="000000"/>
          <w:sz w:val="28"/>
        </w:rPr>
        <w:t>。</w:t>
      </w:r>
    </w:p>
    <w:p>
      <w:pPr>
        <w:shd w:val="clear" w:color="auto" w:fill="FFFFFF"/>
        <w:ind w:firstLine="421" w:firstLineChars="200"/>
        <w:jc w:val="left"/>
        <w:rPr>
          <w:b/>
          <w:color w:val="000000"/>
        </w:rPr>
        <w:sectPr>
          <w:headerReference r:id="rId5" w:type="default"/>
          <w:footerReference r:id="rId6" w:type="default"/>
          <w:pgSz w:w="11907" w:h="16840"/>
          <w:pgMar w:top="1418" w:right="1247" w:bottom="1247" w:left="1247" w:header="851" w:footer="851" w:gutter="0"/>
          <w:pgNumType w:fmt="numberInDash" w:start="1"/>
          <w:cols w:space="720" w:num="1"/>
          <w:docGrid w:linePitch="312" w:charSpace="0"/>
        </w:sectPr>
      </w:pPr>
    </w:p>
    <w:p>
      <w:pPr>
        <w:shd w:val="clear" w:color="auto" w:fill="FFFFFF"/>
        <w:ind w:firstLine="0" w:firstLineChars="0"/>
        <w:jc w:val="left"/>
        <w:rPr>
          <w:b/>
          <w:color w:val="000000"/>
        </w:rPr>
      </w:pPr>
    </w:p>
    <w:p>
      <w:pPr>
        <w:shd w:val="clear" w:color="auto" w:fill="FFFFFF"/>
        <w:ind w:firstLine="0" w:firstLineChars="0"/>
        <w:jc w:val="left"/>
        <w:rPr>
          <w:b/>
          <w:color w:val="000000"/>
        </w:rPr>
      </w:pPr>
    </w:p>
    <w:p>
      <w:pPr>
        <w:shd w:val="clear" w:color="auto" w:fill="FFFFFF"/>
        <w:ind w:firstLine="0" w:firstLineChars="0"/>
        <w:jc w:val="left"/>
        <w:rPr>
          <w:rFonts w:hint="eastAsia" w:ascii="仿宋_GB2312" w:hAnsi="仿宋_GB2312" w:eastAsia="仿宋_GB2312" w:cs="仿宋_GB2312"/>
          <w:b/>
          <w:color w:val="000000"/>
        </w:rPr>
      </w:pPr>
    </w:p>
    <w:sdt>
      <w:sdtPr>
        <w:rPr>
          <w:rFonts w:hint="eastAsia" w:ascii="黑体" w:hAnsi="黑体" w:eastAsia="黑体" w:cs="黑体"/>
          <w:kern w:val="2"/>
          <w:sz w:val="32"/>
          <w:szCs w:val="40"/>
          <w:lang w:val="en-US" w:eastAsia="zh-CN" w:bidi="ar-SA"/>
        </w:rPr>
        <w:id w:val="147452456"/>
        <w15:color w:val="DBDBDB"/>
        <w:docPartObj>
          <w:docPartGallery w:val="Table of Contents"/>
          <w:docPartUnique/>
        </w:docPartObj>
      </w:sdtPr>
      <w:sdtEndPr>
        <w:rPr>
          <w:rFonts w:hint="eastAsia"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2"/>
              <w:szCs w:val="40"/>
            </w:rPr>
          </w:pPr>
          <w:r>
            <w:rPr>
              <w:rFonts w:hint="eastAsia" w:ascii="黑体" w:hAnsi="黑体" w:eastAsia="黑体" w:cs="黑体"/>
              <w:sz w:val="32"/>
              <w:szCs w:val="40"/>
            </w:rPr>
            <w:t>目</w:t>
          </w:r>
          <w:r>
            <w:rPr>
              <w:rFonts w:hint="eastAsia" w:ascii="黑体" w:hAnsi="黑体" w:eastAsia="黑体" w:cs="黑体"/>
              <w:sz w:val="32"/>
              <w:szCs w:val="40"/>
              <w:lang w:val="en-US" w:eastAsia="zh-CN"/>
            </w:rPr>
            <w:t xml:space="preserve">   </w:t>
          </w:r>
          <w:r>
            <w:rPr>
              <w:rFonts w:hint="eastAsia" w:ascii="黑体" w:hAnsi="黑体" w:eastAsia="黑体" w:cs="黑体"/>
              <w:sz w:val="32"/>
              <w:szCs w:val="40"/>
            </w:rPr>
            <w:t>录</w:t>
          </w:r>
        </w:p>
        <w:p>
          <w:pPr>
            <w:spacing w:before="0" w:beforeLines="0" w:after="0" w:afterLines="0" w:line="240" w:lineRule="auto"/>
            <w:ind w:left="0" w:leftChars="0" w:right="0" w:rightChars="0" w:firstLine="0" w:firstLineChars="0"/>
            <w:jc w:val="center"/>
            <w:rPr>
              <w:rFonts w:hint="eastAsia" w:ascii="黑体" w:hAnsi="黑体" w:eastAsia="黑体" w:cs="黑体"/>
              <w:sz w:val="32"/>
              <w:szCs w:val="40"/>
            </w:rPr>
          </w:pPr>
        </w:p>
        <w:p>
          <w:pPr>
            <w:pStyle w:val="7"/>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"1-3" \h \u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_Toc2878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一、总 说 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7"/>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_Toc3927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二、报 表 目 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7"/>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44"/>
              <w:sz w:val="28"/>
              <w:szCs w:val="28"/>
            </w:rPr>
            <w:t>三、调 查 表 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8"/>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_Toc4697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（一）医疗服务及床位利用情况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_Toc4697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8"/>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_Toc4748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（二）企业人员情况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_Toc4748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- 5 -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8"/>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_Toc1807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（三）企业人员学历情况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- 6 -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8"/>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_Toc4255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（四）企业经营情况表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7"/>
            <w:tabs>
              <w:tab w:val="right" w:leader="dot" w:pos="9413"/>
            </w:tabs>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_Toc12468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44"/>
              <w:sz w:val="28"/>
              <w:szCs w:val="28"/>
            </w:rPr>
            <w:t>四、主要指标解释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- 8 -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shd w:val="clear" w:color="auto" w:fill="FFFFFF"/>
            <w:spacing w:line="560" w:lineRule="exact"/>
            <w:ind w:firstLine="0" w:firstLineChars="0"/>
            <w:jc w:val="left"/>
            <w:rPr>
              <w:rFonts w:ascii="宋体" w:hAnsi="宋体" w:eastAsia="宋体" w:cs="Times New Roman"/>
              <w:kern w:val="2"/>
              <w:sz w:val="21"/>
              <w:szCs w:val="24"/>
              <w:lang w:val="en-US" w:eastAsia="zh-CN" w:bidi="ar-SA"/>
            </w:rPr>
          </w:pPr>
          <w:r>
            <w:rPr>
              <w:rFonts w:hint="eastAsia" w:ascii="仿宋_GB2312" w:hAnsi="仿宋_GB2312" w:eastAsia="仿宋_GB2312" w:cs="仿宋_GB2312"/>
              <w:sz w:val="28"/>
              <w:szCs w:val="28"/>
            </w:rPr>
            <w:fldChar w:fldCharType="end"/>
          </w:r>
        </w:p>
      </w:sdtContent>
    </w:sdt>
    <w:p>
      <w:pPr>
        <w:shd w:val="clear" w:color="auto" w:fill="FFFFFF"/>
        <w:ind w:firstLine="0" w:firstLineChars="0"/>
        <w:jc w:val="left"/>
        <w:rPr>
          <w:rFonts w:ascii="宋体" w:hAnsi="宋体" w:eastAsia="宋体" w:cs="Times New Roman"/>
          <w:kern w:val="2"/>
          <w:sz w:val="21"/>
          <w:szCs w:val="24"/>
          <w:lang w:val="en-US" w:eastAsia="zh-CN" w:bidi="ar-SA"/>
        </w:rPr>
        <w:sectPr>
          <w:pgSz w:w="11907" w:h="16840"/>
          <w:pgMar w:top="1418" w:right="1247" w:bottom="1247" w:left="1247" w:header="851" w:footer="851" w:gutter="0"/>
          <w:pgNumType w:fmt="numberInDash" w:start="1"/>
          <w:cols w:space="720" w:num="1"/>
          <w:docGrid w:linePitch="312" w:charSpace="0"/>
        </w:sectPr>
      </w:pPr>
    </w:p>
    <w:p>
      <w:bookmarkStart w:id="0" w:name="_Toc90459431"/>
    </w:p>
    <w:p/>
    <w:p>
      <w:pPr>
        <w:spacing w:before="312" w:beforeLines="100" w:after="312" w:afterLines="100"/>
        <w:jc w:val="center"/>
        <w:outlineLvl w:val="0"/>
        <w:rPr>
          <w:rFonts w:ascii="黑体" w:eastAsia="黑体"/>
          <w:color w:val="000000"/>
          <w:sz w:val="32"/>
          <w:szCs w:val="32"/>
        </w:rPr>
      </w:pPr>
      <w:bookmarkStart w:id="1" w:name="_Toc4943"/>
      <w:bookmarkStart w:id="2" w:name="_Toc2878"/>
      <w:r>
        <w:rPr>
          <w:rFonts w:hint="eastAsia" w:ascii="黑体" w:eastAsia="黑体"/>
          <w:color w:val="000000"/>
          <w:sz w:val="32"/>
          <w:szCs w:val="32"/>
        </w:rPr>
        <w:t>一、总 说 明</w:t>
      </w:r>
      <w:bookmarkEnd w:id="0"/>
      <w:bookmarkEnd w:id="1"/>
      <w:bookmarkEnd w:id="2"/>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调查目的：为全面、客观地反映海南博鳌乐城国际医疗旅游先行区内企业的基本情况、医疗机构经营业务数配比情况、企业经营状况、医疗旅游人数等海外就医回流发展情况，为园区制定科学、合理的决策提供数据支撑。</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（二）调查范围：海南博鳌乐城国际医疗旅游先行区内的法人单位。调查单位在本地区以外的产业活动单位应包含在法人单位中。</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（三）调查内容及表式：</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1.企业医疗服务及床位利用情况：包括医疗旅游人数、药品器械和耗材情况等；</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2.企业人员情况：包括企业期末从业人员、卫生技术人员及管理人员情况；</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3.企业人员学历情况：包括博士、硕士、本科、大专、中专及以下人员的年龄结构；</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4.企业经营情况：包括资产总计、营业收入等。</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5.调查频率为月度、季度和年度调查。</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（四）调查方法</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本制度的统计方法包括全面调查和重点调查。全面调查为先行区辖区范围内的全部法人单位，按季度进行统计；重点调查为医疗服务机构，按月进行统计。</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为避免重复统计，营业成本、利润总额、应付职工薪酬（本期贷方累计发生额）指标与现行园区统计制度指标重复，已纳入园区统计的企业名录每季度末由辖区统计部门反馈园区管理机构，由园区管理机构通知企业免于填报。免填报企业综合数据由辖区统计部门反馈园区使用。</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本制度各报表的报送时间、报送方式、填报方法、截止时间及其他有关事项，请按照制度中各项具体说明和规定执行。月报数据“调查表式（一）”于次月10日前报送，“调查表式（二）”按照季度报送的方式报送，于季后20日前报送，“调查表式（三）”按照半年报送的方式报送，分别于1月20日12时、7月20日12时前报送，“调查表式（四）”于次月20日前报送。报表采用线上填报（园区委托第三方信息平台）或纸质报表填报的方式。</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1.线上填报：登录网址http://www.hntjlwzb.com/ 进行申报。</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2.纸质报表填报：由各单位填报并签字盖章后，将扫描件发至lcyqtj@126.com邮箱。</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（六）质量控制</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为保证数据质量，各上报单位应建立台账、交接归档等管理制度。海南博鳌乐城国际医疗旅游先行区管理局将对各单位数据质量控制，定期对报送的统计数据进行核查，并对统计数据进行审核评估，以保证统计数据的完整性和准确性。</w:t>
      </w:r>
    </w:p>
    <w:p>
      <w:pPr>
        <w:numPr>
          <w:ilvl w:val="255"/>
          <w:numId w:val="0"/>
        </w:numPr>
        <w:spacing w:line="34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（七）统计资料公布和共享</w:t>
      </w:r>
    </w:p>
    <w:p>
      <w:pPr>
        <w:numPr>
          <w:ilvl w:val="255"/>
          <w:numId w:val="0"/>
        </w:numPr>
        <w:spacing w:line="34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本调查制度获取的综合统计数据可与政府其他部门共享，共享责任单位为博鳌乐城国际医疗旅游先行区管理局。</w:t>
      </w:r>
    </w:p>
    <w:p/>
    <w:p/>
    <w:p>
      <w:pPr>
        <w:pStyle w:val="3"/>
      </w:pPr>
    </w:p>
    <w:p>
      <w:pPr>
        <w:pStyle w:val="3"/>
      </w:pPr>
    </w:p>
    <w:p>
      <w:pPr>
        <w:pStyle w:val="3"/>
      </w:pPr>
    </w:p>
    <w:p>
      <w:pPr>
        <w:pStyle w:val="3"/>
      </w:pPr>
    </w:p>
    <w:p>
      <w:pPr>
        <w:spacing w:before="312" w:beforeLines="100" w:after="312" w:afterLines="100"/>
        <w:jc w:val="center"/>
        <w:outlineLvl w:val="0"/>
        <w:rPr>
          <w:rFonts w:ascii="黑体" w:eastAsia="黑体"/>
          <w:color w:val="000000"/>
          <w:sz w:val="32"/>
          <w:szCs w:val="32"/>
        </w:rPr>
      </w:pPr>
      <w:bookmarkStart w:id="3" w:name="_Toc90459432"/>
      <w:bookmarkStart w:id="4" w:name="_Toc3927"/>
      <w:bookmarkStart w:id="5" w:name="_Toc29003"/>
      <w:r>
        <w:rPr>
          <w:rFonts w:hint="eastAsia" w:ascii="黑体" w:eastAsia="黑体"/>
          <w:color w:val="000000"/>
          <w:sz w:val="32"/>
          <w:szCs w:val="32"/>
        </w:rPr>
        <w:t>二、报 表 目 录</w:t>
      </w:r>
      <w:bookmarkEnd w:id="3"/>
      <w:bookmarkEnd w:id="4"/>
      <w:bookmarkEnd w:id="5"/>
    </w:p>
    <w:tbl>
      <w:tblPr>
        <w:tblStyle w:val="11"/>
        <w:tblpPr w:leftFromText="180" w:rightFromText="180" w:vertAnchor="page" w:horzAnchor="page" w:tblpX="1084" w:tblpY="3730"/>
        <w:tblW w:w="9935" w:type="dxa"/>
        <w:tblInd w:w="0" w:type="dxa"/>
        <w:tblBorders>
          <w:top w:val="single" w:color="auto" w:sz="8" w:space="0"/>
          <w:left w:val="none" w:color="auto" w:sz="0" w:space="0"/>
          <w:bottom w:val="single" w:color="auto" w:sz="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167"/>
        <w:gridCol w:w="1167"/>
        <w:gridCol w:w="749"/>
        <w:gridCol w:w="1347"/>
        <w:gridCol w:w="1535"/>
        <w:gridCol w:w="1140"/>
        <w:gridCol w:w="1335"/>
        <w:gridCol w:w="1495"/>
      </w:tblGrid>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755" w:hRule="atLeast"/>
          <w:tblHeader/>
        </w:trPr>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表号</w:t>
            </w:r>
          </w:p>
        </w:tc>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表名</w:t>
            </w:r>
          </w:p>
        </w:tc>
        <w:tc>
          <w:tcPr>
            <w:tcW w:w="749"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报告</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期别</w:t>
            </w:r>
          </w:p>
        </w:tc>
        <w:tc>
          <w:tcPr>
            <w:tcW w:w="134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填报范围</w:t>
            </w:r>
          </w:p>
        </w:tc>
        <w:tc>
          <w:tcPr>
            <w:tcW w:w="1535" w:type="dxa"/>
            <w:vAlign w:val="center"/>
          </w:tcPr>
          <w:p>
            <w:pPr>
              <w:keepNext w:val="0"/>
              <w:keepLines w:val="0"/>
              <w:suppressLineNumbers w:val="0"/>
              <w:spacing w:before="0" w:beforeAutospacing="0" w:after="0" w:afterAutospacing="0"/>
              <w:ind w:left="0" w:right="0"/>
              <w:jc w:val="center"/>
              <w:rPr>
                <w:rFonts w:hint="default" w:ascii="宋体" w:eastAsia="宋体"/>
                <w:color w:val="000000"/>
                <w:sz w:val="18"/>
                <w:szCs w:val="18"/>
                <w:lang w:val="en-US" w:eastAsia="zh-CN"/>
              </w:rPr>
            </w:pPr>
            <w:r>
              <w:rPr>
                <w:rFonts w:hint="eastAsia" w:ascii="宋体"/>
                <w:color w:val="000000"/>
                <w:sz w:val="18"/>
                <w:szCs w:val="18"/>
                <w:lang w:val="en-US" w:eastAsia="zh-CN"/>
              </w:rPr>
              <w:t>统计范围</w:t>
            </w:r>
          </w:p>
        </w:tc>
        <w:tc>
          <w:tcPr>
            <w:tcW w:w="1140"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报送方式</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和渠道</w:t>
            </w:r>
          </w:p>
        </w:tc>
        <w:tc>
          <w:tcPr>
            <w:tcW w:w="1335"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报送单位填报</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开始时间</w:t>
            </w:r>
          </w:p>
        </w:tc>
        <w:tc>
          <w:tcPr>
            <w:tcW w:w="1495"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报送单位填报</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截止时间</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223" w:hRule="atLeast"/>
        </w:trPr>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HLC企01表</w:t>
            </w:r>
          </w:p>
        </w:tc>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医疗服务及床位利用情况表</w:t>
            </w:r>
          </w:p>
        </w:tc>
        <w:tc>
          <w:tcPr>
            <w:tcW w:w="749" w:type="dxa"/>
            <w:vAlign w:val="center"/>
          </w:tcPr>
          <w:p>
            <w:pPr>
              <w:keepNext w:val="0"/>
              <w:keepLines w:val="0"/>
              <w:suppressLineNumbers w:val="0"/>
              <w:spacing w:before="0" w:beforeAutospacing="0" w:after="0" w:afterAutospacing="0"/>
              <w:ind w:left="0" w:right="0"/>
              <w:rPr>
                <w:rFonts w:hint="default" w:ascii="宋体"/>
                <w:color w:val="000000"/>
                <w:sz w:val="18"/>
                <w:szCs w:val="18"/>
              </w:rPr>
            </w:pPr>
            <w:r>
              <w:rPr>
                <w:rFonts w:hint="eastAsia" w:ascii="宋体"/>
                <w:color w:val="000000"/>
                <w:sz w:val="18"/>
                <w:szCs w:val="18"/>
              </w:rPr>
              <w:t>月报、季报</w:t>
            </w:r>
          </w:p>
        </w:tc>
        <w:tc>
          <w:tcPr>
            <w:tcW w:w="134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海南博鳌乐城国际医疗旅游先行区辖区范围内</w:t>
            </w:r>
          </w:p>
        </w:tc>
        <w:tc>
          <w:tcPr>
            <w:tcW w:w="1535"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医疗服务机构及涉医旅法人单位、事业单位及产业活动单位</w:t>
            </w:r>
          </w:p>
        </w:tc>
        <w:tc>
          <w:tcPr>
            <w:tcW w:w="1140" w:type="dxa"/>
            <w:vAlign w:val="center"/>
          </w:tcPr>
          <w:p>
            <w:pPr>
              <w:keepNext w:val="0"/>
              <w:keepLines w:val="0"/>
              <w:suppressLineNumbers w:val="0"/>
              <w:spacing w:before="0" w:beforeAutospacing="0" w:after="0" w:afterAutospacing="0"/>
              <w:ind w:left="0" w:right="0"/>
              <w:jc w:val="center"/>
              <w:rPr>
                <w:rFonts w:hint="default" w:ascii="宋体"/>
                <w:sz w:val="18"/>
                <w:szCs w:val="18"/>
              </w:rPr>
            </w:pPr>
            <w:r>
              <w:rPr>
                <w:rFonts w:hint="eastAsia" w:ascii="宋体"/>
                <w:sz w:val="18"/>
                <w:szCs w:val="18"/>
              </w:rPr>
              <w:t>联网直报</w:t>
            </w:r>
          </w:p>
          <w:p>
            <w:pPr>
              <w:keepNext w:val="0"/>
              <w:keepLines w:val="0"/>
              <w:suppressLineNumbers w:val="0"/>
              <w:spacing w:before="0" w:beforeAutospacing="0" w:after="0" w:afterAutospacing="0"/>
              <w:ind w:left="0" w:right="0"/>
              <w:jc w:val="center"/>
              <w:rPr>
                <w:rFonts w:hint="default" w:ascii="宋体"/>
                <w:sz w:val="18"/>
                <w:szCs w:val="18"/>
              </w:rPr>
            </w:pPr>
            <w:r>
              <w:rPr>
                <w:rFonts w:hint="eastAsia" w:ascii="宋体"/>
                <w:sz w:val="18"/>
                <w:szCs w:val="18"/>
              </w:rPr>
              <w:t>或纸质报表</w:t>
            </w:r>
          </w:p>
        </w:tc>
        <w:tc>
          <w:tcPr>
            <w:tcW w:w="1335" w:type="dxa"/>
            <w:vAlign w:val="center"/>
          </w:tcPr>
          <w:p>
            <w:pPr>
              <w:keepNext w:val="0"/>
              <w:keepLines w:val="0"/>
              <w:suppressLineNumbers w:val="0"/>
              <w:spacing w:before="0" w:beforeAutospacing="0" w:after="0" w:afterAutospacing="0"/>
              <w:ind w:left="0" w:right="0"/>
              <w:jc w:val="center"/>
              <w:rPr>
                <w:rFonts w:hint="default" w:ascii="宋体"/>
                <w:sz w:val="18"/>
                <w:szCs w:val="18"/>
              </w:rPr>
            </w:pPr>
            <w:r>
              <w:rPr>
                <w:rFonts w:hint="eastAsia" w:ascii="宋体"/>
                <w:sz w:val="18"/>
                <w:szCs w:val="18"/>
                <w:lang w:val="en-US" w:eastAsia="zh-CN"/>
              </w:rPr>
              <w:t>次月</w:t>
            </w:r>
            <w:r>
              <w:rPr>
                <w:rFonts w:hint="eastAsia" w:ascii="宋体"/>
                <w:sz w:val="18"/>
                <w:szCs w:val="18"/>
              </w:rPr>
              <w:t>1日0时</w:t>
            </w:r>
          </w:p>
        </w:tc>
        <w:tc>
          <w:tcPr>
            <w:tcW w:w="1495" w:type="dxa"/>
            <w:vAlign w:val="center"/>
          </w:tcPr>
          <w:p>
            <w:pPr>
              <w:keepNext w:val="0"/>
              <w:keepLines w:val="0"/>
              <w:suppressLineNumbers w:val="0"/>
              <w:spacing w:before="0" w:beforeAutospacing="0" w:after="0" w:afterAutospacing="0"/>
              <w:ind w:left="0" w:right="0"/>
              <w:rPr>
                <w:rFonts w:hint="default" w:ascii="宋体"/>
                <w:sz w:val="18"/>
                <w:szCs w:val="18"/>
              </w:rPr>
            </w:pPr>
            <w:r>
              <w:rPr>
                <w:rFonts w:hint="eastAsia" w:ascii="宋体"/>
                <w:sz w:val="18"/>
                <w:szCs w:val="18"/>
                <w:lang w:val="en-US" w:eastAsia="zh-CN"/>
              </w:rPr>
              <w:t>次月</w:t>
            </w:r>
            <w:r>
              <w:rPr>
                <w:rFonts w:hint="eastAsia" w:ascii="宋体"/>
                <w:sz w:val="18"/>
                <w:szCs w:val="18"/>
              </w:rPr>
              <w:t>10日12时</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29" w:hRule="atLeast"/>
        </w:trPr>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HLC企02表</w:t>
            </w:r>
          </w:p>
        </w:tc>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企业人员</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情况表</w:t>
            </w:r>
          </w:p>
        </w:tc>
        <w:tc>
          <w:tcPr>
            <w:tcW w:w="749" w:type="dxa"/>
            <w:vAlign w:val="center"/>
          </w:tcPr>
          <w:p>
            <w:pPr>
              <w:keepNext w:val="0"/>
              <w:keepLines w:val="0"/>
              <w:suppressLineNumbers w:val="0"/>
              <w:spacing w:before="0" w:beforeAutospacing="0" w:after="0" w:afterAutospacing="0"/>
              <w:ind w:left="0" w:right="0"/>
              <w:rPr>
                <w:rFonts w:hint="default" w:ascii="宋体"/>
                <w:color w:val="000000"/>
                <w:sz w:val="18"/>
                <w:szCs w:val="18"/>
              </w:rPr>
            </w:pPr>
            <w:r>
              <w:rPr>
                <w:rFonts w:hint="eastAsia" w:ascii="宋体"/>
                <w:color w:val="000000"/>
                <w:sz w:val="18"/>
                <w:szCs w:val="18"/>
              </w:rPr>
              <w:t>季报</w:t>
            </w:r>
          </w:p>
        </w:tc>
        <w:tc>
          <w:tcPr>
            <w:tcW w:w="134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 xml:space="preserve">同上 </w:t>
            </w:r>
          </w:p>
        </w:tc>
        <w:tc>
          <w:tcPr>
            <w:tcW w:w="1535"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全部</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法人单位</w:t>
            </w:r>
          </w:p>
        </w:tc>
        <w:tc>
          <w:tcPr>
            <w:tcW w:w="1140"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335" w:type="dxa"/>
            <w:vAlign w:val="center"/>
          </w:tcPr>
          <w:p>
            <w:pPr>
              <w:keepNext w:val="0"/>
              <w:keepLines w:val="0"/>
              <w:suppressLineNumbers w:val="0"/>
              <w:spacing w:before="0" w:beforeAutospacing="0" w:after="0" w:afterAutospacing="0"/>
              <w:ind w:left="0" w:right="0"/>
              <w:jc w:val="center"/>
              <w:rPr>
                <w:rFonts w:hint="default" w:ascii="宋体"/>
                <w:sz w:val="18"/>
                <w:szCs w:val="18"/>
              </w:rPr>
            </w:pPr>
            <w:r>
              <w:rPr>
                <w:rFonts w:hint="eastAsia" w:ascii="宋体"/>
                <w:sz w:val="18"/>
                <w:szCs w:val="18"/>
              </w:rPr>
              <w:t>季后1日0时</w:t>
            </w:r>
          </w:p>
        </w:tc>
        <w:tc>
          <w:tcPr>
            <w:tcW w:w="1495" w:type="dxa"/>
            <w:vAlign w:val="center"/>
          </w:tcPr>
          <w:p>
            <w:pPr>
              <w:keepNext w:val="0"/>
              <w:keepLines w:val="0"/>
              <w:suppressLineNumbers w:val="0"/>
              <w:spacing w:before="0" w:beforeAutospacing="0" w:after="0" w:afterAutospacing="0"/>
              <w:ind w:left="0" w:right="0" w:firstLine="5" w:firstLineChars="3"/>
              <w:rPr>
                <w:rFonts w:hint="default" w:ascii="宋体"/>
                <w:sz w:val="18"/>
                <w:szCs w:val="18"/>
              </w:rPr>
            </w:pPr>
            <w:r>
              <w:rPr>
                <w:rFonts w:hint="eastAsia" w:ascii="宋体"/>
                <w:sz w:val="18"/>
                <w:szCs w:val="18"/>
              </w:rPr>
              <w:t>季后</w:t>
            </w:r>
            <w:r>
              <w:rPr>
                <w:rFonts w:hint="eastAsia" w:ascii="宋体"/>
                <w:sz w:val="18"/>
                <w:szCs w:val="18"/>
                <w:lang w:val="en-US" w:eastAsia="zh-CN"/>
              </w:rPr>
              <w:t>20</w:t>
            </w:r>
            <w:r>
              <w:rPr>
                <w:rFonts w:hint="eastAsia" w:ascii="宋体"/>
                <w:sz w:val="18"/>
                <w:szCs w:val="18"/>
              </w:rPr>
              <w:t>日12时</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29" w:hRule="atLeast"/>
        </w:trPr>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HLC企03表</w:t>
            </w:r>
          </w:p>
        </w:tc>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企业人员</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学历情况</w:t>
            </w:r>
          </w:p>
        </w:tc>
        <w:tc>
          <w:tcPr>
            <w:tcW w:w="749" w:type="dxa"/>
            <w:vAlign w:val="center"/>
          </w:tcPr>
          <w:p>
            <w:pPr>
              <w:keepNext w:val="0"/>
              <w:keepLines w:val="0"/>
              <w:suppressLineNumbers w:val="0"/>
              <w:spacing w:before="0" w:beforeAutospacing="0" w:after="0" w:afterAutospacing="0"/>
              <w:ind w:left="0" w:right="0"/>
              <w:jc w:val="left"/>
              <w:rPr>
                <w:rFonts w:hint="default" w:ascii="宋体"/>
                <w:color w:val="000000"/>
                <w:sz w:val="18"/>
                <w:szCs w:val="18"/>
              </w:rPr>
            </w:pPr>
            <w:r>
              <w:rPr>
                <w:rFonts w:hint="eastAsia" w:ascii="宋体"/>
                <w:color w:val="000000"/>
                <w:sz w:val="18"/>
                <w:szCs w:val="18"/>
                <w:lang w:val="en-US" w:eastAsia="zh-CN"/>
              </w:rPr>
              <w:t>半年</w:t>
            </w:r>
            <w:r>
              <w:rPr>
                <w:rFonts w:hint="eastAsia" w:ascii="宋体"/>
                <w:color w:val="000000"/>
                <w:sz w:val="18"/>
                <w:szCs w:val="18"/>
              </w:rPr>
              <w:t>报</w:t>
            </w:r>
          </w:p>
        </w:tc>
        <w:tc>
          <w:tcPr>
            <w:tcW w:w="134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535"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140"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335" w:type="dxa"/>
            <w:vAlign w:val="center"/>
          </w:tcPr>
          <w:p>
            <w:pPr>
              <w:keepNext w:val="0"/>
              <w:keepLines w:val="0"/>
              <w:suppressLineNumbers w:val="0"/>
              <w:spacing w:before="0" w:beforeAutospacing="0" w:after="0" w:afterAutospacing="0"/>
              <w:ind w:left="0" w:right="0"/>
              <w:jc w:val="center"/>
              <w:rPr>
                <w:rFonts w:hint="eastAsia" w:ascii="宋体"/>
                <w:sz w:val="18"/>
                <w:szCs w:val="18"/>
              </w:rPr>
            </w:pPr>
            <w:r>
              <w:rPr>
                <w:rFonts w:hint="eastAsia" w:ascii="宋体"/>
                <w:sz w:val="18"/>
                <w:szCs w:val="18"/>
                <w:lang w:val="en-US" w:eastAsia="zh-CN"/>
              </w:rPr>
              <w:t>7月</w:t>
            </w:r>
            <w:r>
              <w:rPr>
                <w:rFonts w:hint="eastAsia" w:ascii="宋体"/>
                <w:sz w:val="18"/>
                <w:szCs w:val="18"/>
              </w:rPr>
              <w:t>1日0时</w:t>
            </w:r>
          </w:p>
          <w:p>
            <w:pPr>
              <w:keepNext w:val="0"/>
              <w:keepLines w:val="0"/>
              <w:suppressLineNumbers w:val="0"/>
              <w:spacing w:before="0" w:beforeAutospacing="0" w:after="0" w:afterAutospacing="0"/>
              <w:ind w:left="0" w:right="0"/>
              <w:jc w:val="center"/>
              <w:rPr>
                <w:rFonts w:hint="default" w:ascii="宋体"/>
                <w:sz w:val="18"/>
                <w:szCs w:val="18"/>
              </w:rPr>
            </w:pPr>
            <w:r>
              <w:rPr>
                <w:rFonts w:hint="eastAsia" w:ascii="宋体"/>
                <w:sz w:val="18"/>
                <w:szCs w:val="18"/>
                <w:lang w:val="en-US" w:eastAsia="zh-CN"/>
              </w:rPr>
              <w:t>1月1日0时</w:t>
            </w:r>
          </w:p>
        </w:tc>
        <w:tc>
          <w:tcPr>
            <w:tcW w:w="1495" w:type="dxa"/>
            <w:vAlign w:val="center"/>
          </w:tcPr>
          <w:p>
            <w:pPr>
              <w:keepNext w:val="0"/>
              <w:keepLines w:val="0"/>
              <w:suppressLineNumbers w:val="0"/>
              <w:spacing w:before="0" w:beforeAutospacing="0" w:after="0" w:afterAutospacing="0"/>
              <w:ind w:left="0" w:right="0" w:firstLine="5" w:firstLineChars="3"/>
              <w:rPr>
                <w:rFonts w:hint="eastAsia" w:ascii="宋体"/>
                <w:sz w:val="18"/>
                <w:szCs w:val="18"/>
              </w:rPr>
            </w:pPr>
            <w:r>
              <w:rPr>
                <w:rFonts w:hint="eastAsia" w:ascii="宋体"/>
                <w:sz w:val="18"/>
                <w:szCs w:val="18"/>
                <w:lang w:val="en-US" w:eastAsia="zh-CN"/>
              </w:rPr>
              <w:t>7月20</w:t>
            </w:r>
            <w:r>
              <w:rPr>
                <w:rFonts w:hint="eastAsia" w:ascii="宋体"/>
                <w:sz w:val="18"/>
                <w:szCs w:val="18"/>
              </w:rPr>
              <w:t>日12时</w:t>
            </w:r>
          </w:p>
          <w:p>
            <w:pPr>
              <w:keepNext w:val="0"/>
              <w:keepLines w:val="0"/>
              <w:suppressLineNumbers w:val="0"/>
              <w:spacing w:before="0" w:beforeAutospacing="0" w:after="0" w:afterAutospacing="0"/>
              <w:ind w:left="0" w:right="0" w:firstLine="5" w:firstLineChars="3"/>
              <w:rPr>
                <w:rFonts w:hint="default" w:ascii="宋体"/>
                <w:sz w:val="18"/>
                <w:szCs w:val="18"/>
              </w:rPr>
            </w:pPr>
            <w:r>
              <w:rPr>
                <w:rFonts w:hint="eastAsia" w:ascii="宋体"/>
                <w:sz w:val="18"/>
                <w:szCs w:val="18"/>
                <w:lang w:val="en-US" w:eastAsia="zh-CN"/>
              </w:rPr>
              <w:t>1月20日12时</w:t>
            </w:r>
          </w:p>
        </w:tc>
      </w:tr>
      <w:tr>
        <w:tblPrEx>
          <w:tblBorders>
            <w:top w:val="single" w:color="auto" w:sz="8"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44" w:hRule="atLeast"/>
        </w:trPr>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HLC企04表</w:t>
            </w:r>
          </w:p>
        </w:tc>
        <w:tc>
          <w:tcPr>
            <w:tcW w:w="116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企业</w:t>
            </w:r>
          </w:p>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经营情况表</w:t>
            </w:r>
          </w:p>
        </w:tc>
        <w:tc>
          <w:tcPr>
            <w:tcW w:w="749" w:type="dxa"/>
            <w:vAlign w:val="center"/>
          </w:tcPr>
          <w:p>
            <w:pPr>
              <w:keepNext w:val="0"/>
              <w:keepLines w:val="0"/>
              <w:suppressLineNumbers w:val="0"/>
              <w:spacing w:before="0" w:beforeAutospacing="0" w:after="0" w:afterAutospacing="0"/>
              <w:ind w:left="0" w:right="0"/>
              <w:jc w:val="left"/>
              <w:rPr>
                <w:rFonts w:hint="default" w:ascii="宋体"/>
                <w:color w:val="000000"/>
                <w:sz w:val="18"/>
                <w:szCs w:val="18"/>
              </w:rPr>
            </w:pPr>
            <w:r>
              <w:rPr>
                <w:rFonts w:hint="eastAsia" w:ascii="宋体"/>
                <w:color w:val="000000"/>
                <w:sz w:val="18"/>
                <w:szCs w:val="18"/>
              </w:rPr>
              <w:t>月报、季报</w:t>
            </w:r>
          </w:p>
        </w:tc>
        <w:tc>
          <w:tcPr>
            <w:tcW w:w="1347"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535"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140" w:type="dxa"/>
            <w:vAlign w:val="center"/>
          </w:tcPr>
          <w:p>
            <w:pPr>
              <w:keepNext w:val="0"/>
              <w:keepLines w:val="0"/>
              <w:suppressLineNumbers w:val="0"/>
              <w:spacing w:before="0" w:beforeAutospacing="0" w:after="0" w:afterAutospacing="0"/>
              <w:ind w:left="0" w:right="0"/>
              <w:jc w:val="center"/>
              <w:rPr>
                <w:rFonts w:hint="default" w:ascii="宋体"/>
                <w:color w:val="000000"/>
                <w:sz w:val="18"/>
                <w:szCs w:val="18"/>
              </w:rPr>
            </w:pPr>
            <w:r>
              <w:rPr>
                <w:rFonts w:hint="eastAsia" w:ascii="宋体"/>
                <w:color w:val="000000"/>
                <w:sz w:val="18"/>
                <w:szCs w:val="18"/>
              </w:rPr>
              <w:t>同上</w:t>
            </w:r>
          </w:p>
        </w:tc>
        <w:tc>
          <w:tcPr>
            <w:tcW w:w="1335" w:type="dxa"/>
            <w:vAlign w:val="center"/>
          </w:tcPr>
          <w:p>
            <w:pPr>
              <w:keepNext w:val="0"/>
              <w:keepLines w:val="0"/>
              <w:suppressLineNumbers w:val="0"/>
              <w:spacing w:before="0" w:beforeAutospacing="0" w:after="0" w:afterAutospacing="0"/>
              <w:ind w:left="0" w:right="0"/>
              <w:jc w:val="center"/>
              <w:rPr>
                <w:rFonts w:hint="default" w:ascii="宋体"/>
                <w:sz w:val="18"/>
                <w:szCs w:val="18"/>
              </w:rPr>
            </w:pPr>
            <w:r>
              <w:rPr>
                <w:rFonts w:hint="eastAsia" w:ascii="宋体"/>
                <w:sz w:val="18"/>
                <w:szCs w:val="18"/>
                <w:lang w:val="en-US" w:eastAsia="zh-CN"/>
              </w:rPr>
              <w:t>次月</w:t>
            </w:r>
            <w:r>
              <w:rPr>
                <w:rFonts w:hint="eastAsia" w:ascii="宋体"/>
                <w:sz w:val="18"/>
                <w:szCs w:val="18"/>
              </w:rPr>
              <w:t>1日0时</w:t>
            </w:r>
          </w:p>
        </w:tc>
        <w:tc>
          <w:tcPr>
            <w:tcW w:w="1495" w:type="dxa"/>
            <w:vAlign w:val="center"/>
          </w:tcPr>
          <w:p>
            <w:pPr>
              <w:keepNext w:val="0"/>
              <w:keepLines w:val="0"/>
              <w:suppressLineNumbers w:val="0"/>
              <w:spacing w:before="0" w:beforeAutospacing="0" w:after="0" w:afterAutospacing="0"/>
              <w:ind w:left="0" w:right="0" w:firstLine="5" w:firstLineChars="3"/>
              <w:rPr>
                <w:rFonts w:hint="default" w:ascii="宋体"/>
                <w:sz w:val="18"/>
                <w:szCs w:val="18"/>
              </w:rPr>
            </w:pPr>
            <w:r>
              <w:rPr>
                <w:rFonts w:hint="eastAsia" w:ascii="宋体"/>
                <w:sz w:val="18"/>
                <w:szCs w:val="18"/>
              </w:rPr>
              <w:t>次月</w:t>
            </w:r>
            <w:r>
              <w:rPr>
                <w:rFonts w:hint="eastAsia" w:ascii="宋体"/>
                <w:sz w:val="18"/>
                <w:szCs w:val="18"/>
                <w:lang w:val="en-US" w:eastAsia="zh-CN"/>
              </w:rPr>
              <w:t>20</w:t>
            </w:r>
            <w:r>
              <w:rPr>
                <w:rFonts w:hint="eastAsia" w:ascii="宋体"/>
                <w:sz w:val="18"/>
                <w:szCs w:val="18"/>
              </w:rPr>
              <w:t>日12时</w:t>
            </w:r>
          </w:p>
        </w:tc>
      </w:tr>
    </w:tbl>
    <w:p>
      <w:pPr>
        <w:pStyle w:val="3"/>
        <w:ind w:left="0" w:leftChars="0" w:firstLine="0" w:firstLineChars="0"/>
      </w:pPr>
    </w:p>
    <w:p>
      <w:pPr>
        <w:pStyle w:val="3"/>
      </w:pPr>
    </w:p>
    <w:p>
      <w:pPr>
        <w:pStyle w:val="3"/>
        <w:ind w:left="0" w:leftChars="0" w:firstLine="0" w:firstLineChars="0"/>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ind w:left="0" w:leftChars="0" w:firstLine="0" w:firstLineChars="0"/>
      </w:pPr>
    </w:p>
    <w:p>
      <w:pPr>
        <w:pStyle w:val="3"/>
      </w:pPr>
    </w:p>
    <w:p>
      <w:pPr>
        <w:keepNext/>
        <w:keepLines/>
        <w:spacing w:line="580" w:lineRule="exact"/>
        <w:jc w:val="center"/>
        <w:outlineLvl w:val="0"/>
        <w:rPr>
          <w:rFonts w:ascii="黑体" w:eastAsia="黑体"/>
          <w:b/>
          <w:bCs/>
          <w:color w:val="000000"/>
          <w:kern w:val="44"/>
          <w:sz w:val="32"/>
          <w:szCs w:val="32"/>
        </w:rPr>
      </w:pPr>
      <w:bookmarkStart w:id="6" w:name="_Toc178"/>
      <w:bookmarkStart w:id="7" w:name="_Toc5154"/>
      <w:r>
        <w:rPr>
          <w:rFonts w:hint="eastAsia" w:ascii="黑体" w:eastAsia="黑体"/>
          <w:b/>
          <w:bCs/>
          <w:color w:val="000000"/>
          <w:kern w:val="44"/>
          <w:sz w:val="32"/>
          <w:szCs w:val="32"/>
        </w:rPr>
        <w:t>三、调 查 表 式</w:t>
      </w:r>
      <w:bookmarkEnd w:id="6"/>
      <w:bookmarkEnd w:id="7"/>
    </w:p>
    <w:p>
      <w:pPr>
        <w:keepNext/>
        <w:keepLines/>
        <w:spacing w:after="312" w:afterLines="100" w:line="600" w:lineRule="exact"/>
        <w:jc w:val="center"/>
        <w:outlineLvl w:val="1"/>
        <w:rPr>
          <w:rFonts w:ascii="宋体" w:hAnsi="Calibri Light"/>
          <w:bCs/>
          <w:color w:val="000000"/>
          <w:sz w:val="32"/>
          <w:szCs w:val="32"/>
        </w:rPr>
      </w:pPr>
      <w:bookmarkStart w:id="8" w:name="_Toc4697"/>
      <w:bookmarkStart w:id="9" w:name="_Toc90459434"/>
      <w:bookmarkStart w:id="10" w:name="_Toc13546"/>
      <w:r>
        <w:rPr>
          <w:rFonts w:hint="eastAsia" w:ascii="宋体" w:hAnsi="Calibri Light"/>
          <w:bCs/>
          <w:color w:val="000000"/>
          <w:sz w:val="32"/>
          <w:szCs w:val="32"/>
        </w:rPr>
        <w:t>（一）医疗服务及床位利用情况</w:t>
      </w:r>
      <w:bookmarkEnd w:id="8"/>
      <w:bookmarkEnd w:id="9"/>
      <w:bookmarkEnd w:id="10"/>
    </w:p>
    <w:tbl>
      <w:tblPr>
        <w:tblStyle w:val="11"/>
        <w:tblW w:w="9589" w:type="dxa"/>
        <w:jc w:val="center"/>
        <w:tblLayout w:type="fixed"/>
        <w:tblCellMar>
          <w:top w:w="0" w:type="dxa"/>
          <w:left w:w="108" w:type="dxa"/>
          <w:bottom w:w="0" w:type="dxa"/>
          <w:right w:w="108" w:type="dxa"/>
        </w:tblCellMar>
      </w:tblPr>
      <w:tblGrid>
        <w:gridCol w:w="3910"/>
        <w:gridCol w:w="527"/>
        <w:gridCol w:w="1186"/>
        <w:gridCol w:w="562"/>
        <w:gridCol w:w="1507"/>
        <w:gridCol w:w="1897"/>
      </w:tblGrid>
      <w:tr>
        <w:tblPrEx>
          <w:tblCellMar>
            <w:top w:w="0" w:type="dxa"/>
            <w:left w:w="108" w:type="dxa"/>
            <w:bottom w:w="0" w:type="dxa"/>
            <w:right w:w="108" w:type="dxa"/>
          </w:tblCellMar>
        </w:tblPrEx>
        <w:trPr>
          <w:trHeight w:val="386" w:hRule="exact"/>
          <w:jc w:val="center"/>
        </w:trPr>
        <w:tc>
          <w:tcPr>
            <w:tcW w:w="6185" w:type="dxa"/>
            <w:gridSpan w:val="4"/>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宋体" w:cs="宋体"/>
                <w:color w:val="000000"/>
                <w:kern w:val="0"/>
                <w:sz w:val="18"/>
                <w:szCs w:val="18"/>
              </w:rPr>
            </w:pPr>
          </w:p>
        </w:tc>
        <w:tc>
          <w:tcPr>
            <w:tcW w:w="3404" w:type="dxa"/>
            <w:gridSpan w:val="2"/>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宋体" w:cs="宋体"/>
                <w:color w:val="000000"/>
                <w:kern w:val="0"/>
                <w:sz w:val="18"/>
                <w:szCs w:val="18"/>
              </w:rPr>
            </w:pPr>
            <w:r>
              <w:rPr>
                <w:rFonts w:hint="eastAsia" w:ascii="宋体" w:cs="宋体"/>
                <w:color w:val="000000"/>
                <w:kern w:val="0"/>
                <w:sz w:val="18"/>
                <w:szCs w:val="18"/>
              </w:rPr>
              <w:t xml:space="preserve">表    号： </w:t>
            </w:r>
            <w:r>
              <w:rPr>
                <w:rFonts w:hint="eastAsia" w:ascii="宋体"/>
                <w:color w:val="000000"/>
                <w:sz w:val="18"/>
                <w:szCs w:val="18"/>
              </w:rPr>
              <w:t>HLC企01表</w:t>
            </w:r>
          </w:p>
        </w:tc>
      </w:tr>
      <w:tr>
        <w:tblPrEx>
          <w:tblCellMar>
            <w:top w:w="0" w:type="dxa"/>
            <w:left w:w="108" w:type="dxa"/>
            <w:bottom w:w="0" w:type="dxa"/>
            <w:right w:w="108" w:type="dxa"/>
          </w:tblCellMar>
        </w:tblPrEx>
        <w:trPr>
          <w:trHeight w:val="791" w:hRule="exact"/>
          <w:jc w:val="center"/>
        </w:trPr>
        <w:tc>
          <w:tcPr>
            <w:tcW w:w="6185" w:type="dxa"/>
            <w:gridSpan w:val="4"/>
            <w:tcBorders>
              <w:top w:val="nil"/>
              <w:left w:val="nil"/>
              <w:bottom w:val="nil"/>
              <w:right w:val="nil"/>
            </w:tcBorders>
            <w:vAlign w:val="center"/>
          </w:tcPr>
          <w:p>
            <w:pPr>
              <w:keepNext w:val="0"/>
              <w:keepLines w:val="0"/>
              <w:suppressLineNumbers w:val="0"/>
              <w:spacing w:before="0" w:beforeAutospacing="0" w:after="0" w:afterAutospacing="0" w:line="340" w:lineRule="exact"/>
              <w:ind w:left="0" w:right="0"/>
              <w:jc w:val="left"/>
              <w:rPr>
                <w:rFonts w:hint="default" w:ascii="宋体" w:cs="宋体"/>
                <w:color w:val="000000"/>
                <w:kern w:val="0"/>
                <w:sz w:val="18"/>
                <w:szCs w:val="18"/>
              </w:rPr>
            </w:pPr>
          </w:p>
        </w:tc>
        <w:tc>
          <w:tcPr>
            <w:tcW w:w="3404" w:type="dxa"/>
            <w:gridSpan w:val="2"/>
            <w:tcBorders>
              <w:top w:val="nil"/>
              <w:left w:val="nil"/>
              <w:bottom w:val="nil"/>
              <w:right w:val="nil"/>
            </w:tcBorders>
            <w:vAlign w:val="center"/>
          </w:tcPr>
          <w:p>
            <w:pPr>
              <w:keepNext w:val="0"/>
              <w:keepLines w:val="0"/>
              <w:suppressLineNumbers w:val="0"/>
              <w:spacing w:before="0" w:beforeAutospacing="0" w:after="0" w:afterAutospacing="0" w:line="340" w:lineRule="exact"/>
              <w:ind w:left="0" w:right="0"/>
              <w:jc w:val="left"/>
              <w:rPr>
                <w:rFonts w:hint="default" w:ascii="宋体" w:cs="宋体"/>
                <w:color w:val="000000"/>
                <w:kern w:val="0"/>
                <w:sz w:val="18"/>
                <w:szCs w:val="18"/>
              </w:rPr>
            </w:pPr>
            <w:r>
              <w:rPr>
                <w:rFonts w:hint="eastAsia" w:ascii="宋体" w:cs="宋体"/>
                <w:color w:val="000000"/>
                <w:kern w:val="0"/>
                <w:sz w:val="18"/>
                <w:szCs w:val="18"/>
              </w:rPr>
              <w:t>制定机关：博鳌乐城国际医疗旅游</w:t>
            </w:r>
          </w:p>
          <w:p>
            <w:pPr>
              <w:keepNext w:val="0"/>
              <w:keepLines w:val="0"/>
              <w:suppressLineNumbers w:val="0"/>
              <w:spacing w:before="0" w:beforeAutospacing="0" w:after="0" w:afterAutospacing="0" w:line="340" w:lineRule="exact"/>
              <w:ind w:left="0" w:right="0" w:firstLine="900" w:firstLineChars="500"/>
              <w:jc w:val="left"/>
              <w:rPr>
                <w:rFonts w:hint="default" w:ascii="宋体" w:cs="宋体"/>
                <w:color w:val="000000"/>
                <w:kern w:val="0"/>
                <w:sz w:val="18"/>
                <w:szCs w:val="18"/>
              </w:rPr>
            </w:pPr>
            <w:r>
              <w:rPr>
                <w:rFonts w:hint="eastAsia" w:ascii="宋体" w:cs="宋体"/>
                <w:color w:val="000000"/>
                <w:kern w:val="0"/>
                <w:sz w:val="18"/>
                <w:szCs w:val="18"/>
              </w:rPr>
              <w:t>先行区管理局</w:t>
            </w:r>
          </w:p>
        </w:tc>
      </w:tr>
      <w:tr>
        <w:tblPrEx>
          <w:tblCellMar>
            <w:top w:w="0" w:type="dxa"/>
            <w:left w:w="108" w:type="dxa"/>
            <w:bottom w:w="0" w:type="dxa"/>
            <w:right w:w="108" w:type="dxa"/>
          </w:tblCellMar>
        </w:tblPrEx>
        <w:trPr>
          <w:trHeight w:val="386" w:hRule="exact"/>
          <w:jc w:val="center"/>
        </w:trPr>
        <w:tc>
          <w:tcPr>
            <w:tcW w:w="6185" w:type="dxa"/>
            <w:gridSpan w:val="4"/>
            <w:tcBorders>
              <w:top w:val="nil"/>
              <w:left w:val="nil"/>
              <w:bottom w:val="nil"/>
              <w:right w:val="nil"/>
            </w:tcBorders>
            <w:vAlign w:val="center"/>
          </w:tcPr>
          <w:p>
            <w:pPr>
              <w:keepNext w:val="0"/>
              <w:keepLines w:val="0"/>
              <w:suppressLineNumbers w:val="0"/>
              <w:spacing w:before="0" w:beforeAutospacing="0" w:after="0" w:afterAutospacing="0" w:line="420" w:lineRule="exact"/>
              <w:ind w:left="0" w:right="0"/>
              <w:jc w:val="left"/>
              <w:rPr>
                <w:rFonts w:hint="default" w:ascii="宋体" w:cs="宋体"/>
                <w:color w:val="000000"/>
                <w:kern w:val="0"/>
                <w:sz w:val="18"/>
                <w:szCs w:val="18"/>
              </w:rPr>
            </w:pPr>
            <w:r>
              <w:rPr>
                <w:rFonts w:hint="eastAsia" w:ascii="宋体" w:cs="宋体"/>
                <w:color w:val="000000"/>
                <w:kern w:val="0"/>
                <w:sz w:val="18"/>
                <w:szCs w:val="18"/>
              </w:rPr>
              <w:t xml:space="preserve">统一社会信用代码：                          </w:t>
            </w:r>
            <w:r>
              <w:rPr>
                <w:rFonts w:hint="eastAsia" w:ascii="宋体"/>
                <w:color w:val="000000"/>
                <w:sz w:val="18"/>
                <w:szCs w:val="18"/>
              </w:rPr>
              <w:t>　</w:t>
            </w:r>
            <w:r>
              <w:rPr>
                <w:rFonts w:hint="eastAsia" w:ascii="宋体" w:cs="宋体"/>
                <w:color w:val="000000"/>
                <w:sz w:val="18"/>
                <w:szCs w:val="18"/>
              </w:rPr>
              <w:t>　</w:t>
            </w:r>
          </w:p>
        </w:tc>
        <w:tc>
          <w:tcPr>
            <w:tcW w:w="3404" w:type="dxa"/>
            <w:gridSpan w:val="2"/>
            <w:tcBorders>
              <w:top w:val="nil"/>
              <w:left w:val="nil"/>
              <w:bottom w:val="nil"/>
              <w:right w:val="nil"/>
            </w:tcBorders>
            <w:vAlign w:val="center"/>
          </w:tcPr>
          <w:p>
            <w:pPr>
              <w:keepNext w:val="0"/>
              <w:keepLines w:val="0"/>
              <w:suppressLineNumbers w:val="0"/>
              <w:spacing w:before="0" w:beforeAutospacing="0" w:after="0" w:afterAutospacing="0" w:line="420" w:lineRule="exact"/>
              <w:ind w:left="0" w:right="0"/>
              <w:jc w:val="left"/>
              <w:rPr>
                <w:rFonts w:hint="default" w:ascii="宋体" w:cs="宋体"/>
                <w:color w:val="000000"/>
                <w:kern w:val="0"/>
                <w:sz w:val="18"/>
                <w:szCs w:val="18"/>
              </w:rPr>
            </w:pPr>
            <w:r>
              <w:rPr>
                <w:rFonts w:hint="eastAsia" w:ascii="宋体" w:cs="宋体"/>
                <w:color w:val="000000"/>
                <w:kern w:val="0"/>
                <w:sz w:val="18"/>
                <w:szCs w:val="18"/>
              </w:rPr>
              <w:t>批准机关：</w:t>
            </w:r>
          </w:p>
        </w:tc>
      </w:tr>
      <w:tr>
        <w:tblPrEx>
          <w:tblCellMar>
            <w:top w:w="0" w:type="dxa"/>
            <w:left w:w="108" w:type="dxa"/>
            <w:bottom w:w="0" w:type="dxa"/>
            <w:right w:w="108" w:type="dxa"/>
          </w:tblCellMar>
        </w:tblPrEx>
        <w:trPr>
          <w:trHeight w:val="386" w:hRule="exact"/>
          <w:jc w:val="center"/>
        </w:trPr>
        <w:tc>
          <w:tcPr>
            <w:tcW w:w="6185" w:type="dxa"/>
            <w:gridSpan w:val="4"/>
            <w:tcBorders>
              <w:top w:val="nil"/>
              <w:left w:val="nil"/>
              <w:bottom w:val="nil"/>
              <w:right w:val="nil"/>
            </w:tcBorders>
            <w:vAlign w:val="center"/>
          </w:tcPr>
          <w:p>
            <w:pPr>
              <w:keepNext w:val="0"/>
              <w:keepLines w:val="0"/>
              <w:suppressLineNumbers w:val="0"/>
              <w:spacing w:before="0" w:beforeAutospacing="0" w:after="0" w:afterAutospacing="0" w:line="420" w:lineRule="exact"/>
              <w:ind w:left="0" w:right="0"/>
              <w:jc w:val="left"/>
              <w:rPr>
                <w:rFonts w:hint="default" w:ascii="宋体" w:cs="宋体"/>
                <w:color w:val="000000"/>
                <w:kern w:val="0"/>
                <w:sz w:val="18"/>
                <w:szCs w:val="18"/>
              </w:rPr>
            </w:pPr>
          </w:p>
        </w:tc>
        <w:tc>
          <w:tcPr>
            <w:tcW w:w="3404" w:type="dxa"/>
            <w:gridSpan w:val="2"/>
            <w:tcBorders>
              <w:top w:val="nil"/>
              <w:left w:val="nil"/>
              <w:bottom w:val="nil"/>
              <w:right w:val="nil"/>
            </w:tcBorders>
            <w:vAlign w:val="center"/>
          </w:tcPr>
          <w:p>
            <w:pPr>
              <w:keepNext w:val="0"/>
              <w:keepLines w:val="0"/>
              <w:suppressLineNumbers w:val="0"/>
              <w:spacing w:before="0" w:beforeAutospacing="0" w:after="0" w:afterAutospacing="0" w:line="420" w:lineRule="exact"/>
              <w:ind w:left="0" w:right="0"/>
              <w:jc w:val="left"/>
              <w:rPr>
                <w:rFonts w:hint="default" w:ascii="宋体" w:cs="宋体"/>
                <w:color w:val="000000"/>
                <w:kern w:val="0"/>
                <w:sz w:val="18"/>
                <w:szCs w:val="18"/>
              </w:rPr>
            </w:pPr>
            <w:r>
              <w:rPr>
                <w:rFonts w:hint="eastAsia" w:ascii="宋体" w:cs="宋体"/>
                <w:color w:val="000000"/>
                <w:kern w:val="0"/>
                <w:sz w:val="18"/>
                <w:szCs w:val="18"/>
              </w:rPr>
              <w:t xml:space="preserve">批准文号： </w:t>
            </w:r>
          </w:p>
        </w:tc>
      </w:tr>
      <w:tr>
        <w:tblPrEx>
          <w:tblCellMar>
            <w:top w:w="0" w:type="dxa"/>
            <w:left w:w="108" w:type="dxa"/>
            <w:bottom w:w="0" w:type="dxa"/>
            <w:right w:w="108" w:type="dxa"/>
          </w:tblCellMar>
        </w:tblPrEx>
        <w:trPr>
          <w:trHeight w:val="386" w:hRule="exact"/>
          <w:jc w:val="center"/>
        </w:trPr>
        <w:tc>
          <w:tcPr>
            <w:tcW w:w="6185" w:type="dxa"/>
            <w:gridSpan w:val="4"/>
            <w:tcBorders>
              <w:top w:val="nil"/>
              <w:left w:val="nil"/>
              <w:bottom w:val="nil"/>
              <w:right w:val="nil"/>
            </w:tcBorders>
            <w:vAlign w:val="center"/>
          </w:tcPr>
          <w:p>
            <w:pPr>
              <w:keepNext w:val="0"/>
              <w:keepLines w:val="0"/>
              <w:suppressLineNumbers w:val="0"/>
              <w:spacing w:before="0" w:beforeAutospacing="0" w:after="0" w:afterAutospacing="0" w:line="420" w:lineRule="exact"/>
              <w:ind w:left="0" w:right="0"/>
              <w:jc w:val="left"/>
              <w:rPr>
                <w:rFonts w:hint="default" w:ascii="宋体" w:cs="宋体"/>
                <w:color w:val="000000"/>
                <w:kern w:val="0"/>
                <w:sz w:val="18"/>
                <w:szCs w:val="18"/>
              </w:rPr>
            </w:pPr>
            <w:r>
              <w:rPr>
                <w:rFonts w:hint="eastAsia" w:ascii="宋体" w:cs="宋体"/>
                <w:color w:val="000000"/>
                <w:kern w:val="0"/>
                <w:sz w:val="18"/>
                <w:szCs w:val="18"/>
              </w:rPr>
              <w:t>单位详细名称：</w:t>
            </w:r>
          </w:p>
        </w:tc>
        <w:tc>
          <w:tcPr>
            <w:tcW w:w="3404" w:type="dxa"/>
            <w:gridSpan w:val="2"/>
            <w:tcBorders>
              <w:top w:val="nil"/>
              <w:left w:val="nil"/>
              <w:bottom w:val="nil"/>
              <w:right w:val="nil"/>
            </w:tcBorders>
            <w:vAlign w:val="center"/>
          </w:tcPr>
          <w:p>
            <w:pPr>
              <w:keepNext w:val="0"/>
              <w:keepLines w:val="0"/>
              <w:suppressLineNumbers w:val="0"/>
              <w:spacing w:before="0" w:beforeAutospacing="0" w:after="0" w:afterAutospacing="0" w:line="420" w:lineRule="exact"/>
              <w:ind w:left="0" w:right="0"/>
              <w:jc w:val="left"/>
              <w:rPr>
                <w:rFonts w:hint="default" w:ascii="宋体" w:cs="宋体"/>
                <w:color w:val="000000"/>
                <w:kern w:val="0"/>
                <w:sz w:val="18"/>
                <w:szCs w:val="18"/>
              </w:rPr>
            </w:pPr>
            <w:r>
              <w:rPr>
                <w:rFonts w:hint="eastAsia" w:ascii="宋体" w:cs="宋体"/>
                <w:color w:val="000000"/>
                <w:kern w:val="0"/>
                <w:sz w:val="18"/>
                <w:szCs w:val="18"/>
              </w:rPr>
              <w:t>有效期至：</w:t>
            </w:r>
          </w:p>
          <w:p>
            <w:pPr>
              <w:pStyle w:val="3"/>
              <w:keepNext w:val="0"/>
              <w:keepLines w:val="0"/>
              <w:suppressLineNumbers w:val="0"/>
              <w:spacing w:before="0" w:beforeAutospacing="0" w:after="0" w:afterAutospacing="0"/>
              <w:ind w:left="0" w:right="0"/>
              <w:rPr>
                <w:rFonts w:hint="default" w:ascii="宋体" w:cs="宋体"/>
                <w:color w:val="000000"/>
                <w:kern w:val="0"/>
                <w:sz w:val="18"/>
                <w:szCs w:val="18"/>
              </w:rPr>
            </w:pPr>
          </w:p>
          <w:p>
            <w:pPr>
              <w:pStyle w:val="3"/>
              <w:keepNext w:val="0"/>
              <w:keepLines w:val="0"/>
              <w:suppressLineNumbers w:val="0"/>
              <w:spacing w:before="0" w:beforeAutospacing="0" w:after="0" w:afterAutospacing="0"/>
              <w:ind w:left="0" w:right="0"/>
              <w:rPr>
                <w:rFonts w:hint="default" w:ascii="宋体" w:cs="宋体"/>
                <w:color w:val="000000"/>
                <w:kern w:val="0"/>
                <w:sz w:val="18"/>
                <w:szCs w:val="18"/>
              </w:rPr>
            </w:pPr>
          </w:p>
          <w:p>
            <w:pPr>
              <w:pStyle w:val="3"/>
              <w:keepNext w:val="0"/>
              <w:keepLines w:val="0"/>
              <w:suppressLineNumbers w:val="0"/>
              <w:spacing w:before="0" w:beforeAutospacing="0" w:after="0" w:afterAutospacing="0"/>
              <w:ind w:left="0" w:right="0"/>
              <w:rPr>
                <w:rFonts w:hint="default" w:ascii="宋体" w:cs="宋体"/>
                <w:color w:val="000000"/>
                <w:kern w:val="0"/>
                <w:sz w:val="18"/>
                <w:szCs w:val="18"/>
              </w:rPr>
            </w:pPr>
          </w:p>
          <w:p>
            <w:pPr>
              <w:pStyle w:val="3"/>
              <w:keepNext w:val="0"/>
              <w:keepLines w:val="0"/>
              <w:suppressLineNumbers w:val="0"/>
              <w:spacing w:before="0" w:beforeAutospacing="0" w:after="0" w:afterAutospacing="0"/>
              <w:ind w:left="0" w:right="0"/>
              <w:rPr>
                <w:rFonts w:hint="default" w:ascii="宋体" w:cs="宋体"/>
                <w:color w:val="000000"/>
                <w:kern w:val="0"/>
                <w:sz w:val="18"/>
                <w:szCs w:val="18"/>
              </w:rPr>
            </w:pPr>
          </w:p>
        </w:tc>
      </w:tr>
      <w:tr>
        <w:tblPrEx>
          <w:tblCellMar>
            <w:top w:w="0" w:type="dxa"/>
            <w:left w:w="108" w:type="dxa"/>
            <w:bottom w:w="0" w:type="dxa"/>
            <w:right w:w="108" w:type="dxa"/>
          </w:tblCellMar>
        </w:tblPrEx>
        <w:trPr>
          <w:trHeight w:val="488" w:hRule="exact"/>
          <w:jc w:val="center"/>
        </w:trPr>
        <w:tc>
          <w:tcPr>
            <w:tcW w:w="9589" w:type="dxa"/>
            <w:gridSpan w:val="6"/>
            <w:tcBorders>
              <w:top w:val="nil"/>
              <w:left w:val="nil"/>
              <w:bottom w:val="single" w:color="auto" w:sz="12" w:space="0"/>
              <w:right w:val="nil"/>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202   年    月</w:t>
            </w:r>
          </w:p>
        </w:tc>
      </w:tr>
      <w:tr>
        <w:tblPrEx>
          <w:tblCellMar>
            <w:top w:w="0" w:type="dxa"/>
            <w:left w:w="108" w:type="dxa"/>
            <w:bottom w:w="0" w:type="dxa"/>
            <w:right w:w="108" w:type="dxa"/>
          </w:tblCellMar>
        </w:tblPrEx>
        <w:trPr>
          <w:trHeight w:val="598" w:hRule="exact"/>
          <w:jc w:val="center"/>
        </w:trPr>
        <w:tc>
          <w:tcPr>
            <w:tcW w:w="3910" w:type="dxa"/>
            <w:tcBorders>
              <w:top w:val="single" w:color="auto" w:sz="12" w:space="0"/>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指标名称</w:t>
            </w:r>
          </w:p>
        </w:tc>
        <w:tc>
          <w:tcPr>
            <w:tcW w:w="527" w:type="dxa"/>
            <w:tcBorders>
              <w:top w:val="single" w:color="auto" w:sz="12"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代码</w:t>
            </w:r>
          </w:p>
        </w:tc>
        <w:tc>
          <w:tcPr>
            <w:tcW w:w="1186" w:type="dxa"/>
            <w:tcBorders>
              <w:top w:val="single" w:color="auto" w:sz="12"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单位</w:t>
            </w:r>
          </w:p>
        </w:tc>
        <w:tc>
          <w:tcPr>
            <w:tcW w:w="2069" w:type="dxa"/>
            <w:gridSpan w:val="2"/>
            <w:tcBorders>
              <w:top w:val="single" w:color="auto" w:sz="12"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本期</w:t>
            </w:r>
          </w:p>
        </w:tc>
        <w:tc>
          <w:tcPr>
            <w:tcW w:w="1897" w:type="dxa"/>
            <w:tcBorders>
              <w:top w:val="single" w:color="auto" w:sz="12" w:space="0"/>
              <w:left w:val="single" w:color="000000" w:sz="4" w:space="0"/>
              <w:bottom w:val="single" w:color="000000"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1-本期</w:t>
            </w:r>
          </w:p>
        </w:tc>
      </w:tr>
      <w:tr>
        <w:tblPrEx>
          <w:tblCellMar>
            <w:top w:w="0" w:type="dxa"/>
            <w:left w:w="108" w:type="dxa"/>
            <w:bottom w:w="0" w:type="dxa"/>
            <w:right w:w="108" w:type="dxa"/>
          </w:tblCellMar>
        </w:tblPrEx>
        <w:trPr>
          <w:trHeight w:val="488" w:hRule="exact"/>
          <w:jc w:val="center"/>
        </w:trPr>
        <w:tc>
          <w:tcPr>
            <w:tcW w:w="3910" w:type="dxa"/>
            <w:tcBorders>
              <w:top w:val="single" w:color="000000"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甲</w:t>
            </w:r>
          </w:p>
        </w:tc>
        <w:tc>
          <w:tcPr>
            <w:tcW w:w="527"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乙</w:t>
            </w:r>
          </w:p>
        </w:tc>
        <w:tc>
          <w:tcPr>
            <w:tcW w:w="1186"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丙</w:t>
            </w:r>
          </w:p>
        </w:tc>
        <w:tc>
          <w:tcPr>
            <w:tcW w:w="2069" w:type="dxa"/>
            <w:gridSpan w:val="2"/>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897" w:type="dxa"/>
            <w:tcBorders>
              <w:top w:val="single" w:color="000000" w:sz="4" w:space="0"/>
              <w:left w:val="single" w:color="000000" w:sz="4" w:space="0"/>
              <w:bottom w:val="single" w:color="auto" w:sz="4"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r>
      <w:tr>
        <w:tblPrEx>
          <w:tblCellMar>
            <w:top w:w="0" w:type="dxa"/>
            <w:left w:w="108" w:type="dxa"/>
            <w:bottom w:w="0" w:type="dxa"/>
            <w:right w:w="108" w:type="dxa"/>
          </w:tblCellMar>
        </w:tblPrEx>
        <w:trPr>
          <w:trHeight w:val="386" w:hRule="exact"/>
          <w:jc w:val="center"/>
        </w:trPr>
        <w:tc>
          <w:tcPr>
            <w:tcW w:w="3910" w:type="dxa"/>
            <w:tcBorders>
              <w:top w:val="single" w:color="auto" w:sz="4" w:space="0"/>
              <w:left w:val="nil"/>
              <w:bottom w:val="nil"/>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一、医疗旅游人次</w:t>
            </w:r>
          </w:p>
        </w:tc>
        <w:tc>
          <w:tcPr>
            <w:tcW w:w="527"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01</w:t>
            </w:r>
          </w:p>
        </w:tc>
        <w:tc>
          <w:tcPr>
            <w:tcW w:w="1186"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single" w:color="auto" w:sz="4" w:space="0"/>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住院人次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02</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default"/>
                <w:color w:val="000000"/>
                <w:sz w:val="18"/>
                <w:szCs w:val="18"/>
              </w:rPr>
            </w:pPr>
            <w:r>
              <w:rPr>
                <w:rStyle w:val="14"/>
                <w:rFonts w:hint="default"/>
                <w:sz w:val="18"/>
                <w:szCs w:val="18"/>
                <w:lang w:bidi="ar"/>
              </w:rPr>
              <w:t>其中：境外住院人次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03</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门诊人次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04</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default"/>
                <w:color w:val="000000"/>
                <w:sz w:val="18"/>
                <w:szCs w:val="18"/>
              </w:rPr>
            </w:pPr>
            <w:r>
              <w:rPr>
                <w:rStyle w:val="14"/>
                <w:rFonts w:hint="default"/>
                <w:sz w:val="18"/>
                <w:szCs w:val="18"/>
                <w:lang w:bidi="ar"/>
              </w:rPr>
              <w:t>其中：境外门诊人次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05</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体检人次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06</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其中：境外体检人次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07</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参观人次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08</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其中：境外参观人次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09</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会议培训人次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其中：境外会议培训人次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康复康养人次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其中：境外康养</w:t>
            </w:r>
            <w:r>
              <w:rPr>
                <w:rFonts w:hint="eastAsia" w:ascii="宋体" w:hAnsi="宋体" w:cs="宋体"/>
                <w:color w:val="000000"/>
                <w:kern w:val="0"/>
                <w:sz w:val="18"/>
                <w:szCs w:val="18"/>
                <w:lang w:val="en-US" w:eastAsia="zh-CN" w:bidi="ar"/>
              </w:rPr>
              <w:t>康养</w:t>
            </w:r>
            <w:r>
              <w:rPr>
                <w:rFonts w:hint="eastAsia" w:ascii="宋体" w:hAnsi="宋体" w:cs="宋体"/>
                <w:color w:val="000000"/>
                <w:kern w:val="0"/>
                <w:sz w:val="18"/>
                <w:szCs w:val="18"/>
                <w:lang w:bidi="ar"/>
              </w:rPr>
              <w:t>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13</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其他人次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14</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firstLine="720" w:firstLineChars="400"/>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其中：境外其他人次</w:t>
            </w:r>
          </w:p>
        </w:tc>
        <w:tc>
          <w:tcPr>
            <w:tcW w:w="527"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1186"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single" w:color="auto" w:sz="4"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auto" w:sz="4" w:space="0"/>
              <w:left w:val="nil"/>
              <w:bottom w:val="nil"/>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二、医保报销人次</w:t>
            </w:r>
          </w:p>
        </w:tc>
        <w:tc>
          <w:tcPr>
            <w:tcW w:w="527"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16</w:t>
            </w:r>
          </w:p>
        </w:tc>
        <w:tc>
          <w:tcPr>
            <w:tcW w:w="1186"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single" w:color="auto" w:sz="4" w:space="0"/>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nil"/>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本地医保报销人次</w:t>
            </w:r>
          </w:p>
        </w:tc>
        <w:tc>
          <w:tcPr>
            <w:tcW w:w="527"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17</w:t>
            </w:r>
          </w:p>
        </w:tc>
        <w:tc>
          <w:tcPr>
            <w:tcW w:w="1186" w:type="dxa"/>
            <w:tcBorders>
              <w:top w:val="nil"/>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异地医保报销人次</w:t>
            </w:r>
          </w:p>
        </w:tc>
        <w:tc>
          <w:tcPr>
            <w:tcW w:w="527"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w:t>
            </w:r>
          </w:p>
        </w:tc>
        <w:tc>
          <w:tcPr>
            <w:tcW w:w="1186"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nil"/>
              <w:left w:val="single" w:color="000000" w:sz="4" w:space="0"/>
              <w:bottom w:val="single" w:color="auto" w:sz="4"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auto" w:sz="4" w:space="0"/>
              <w:left w:val="nil"/>
              <w:bottom w:val="nil"/>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三、总床位数</w:t>
            </w:r>
          </w:p>
        </w:tc>
        <w:tc>
          <w:tcPr>
            <w:tcW w:w="527"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19</w:t>
            </w:r>
          </w:p>
        </w:tc>
        <w:tc>
          <w:tcPr>
            <w:tcW w:w="1186"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张</w:t>
            </w:r>
          </w:p>
        </w:tc>
        <w:tc>
          <w:tcPr>
            <w:tcW w:w="2069" w:type="dxa"/>
            <w:gridSpan w:val="2"/>
            <w:tcBorders>
              <w:top w:val="single" w:color="auto" w:sz="4" w:space="0"/>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其中：开放床位</w:t>
            </w:r>
          </w:p>
        </w:tc>
        <w:tc>
          <w:tcPr>
            <w:tcW w:w="527"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1186"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张</w:t>
            </w:r>
          </w:p>
        </w:tc>
        <w:tc>
          <w:tcPr>
            <w:tcW w:w="2069" w:type="dxa"/>
            <w:gridSpan w:val="2"/>
            <w:tcBorders>
              <w:top w:val="nil"/>
              <w:left w:val="single" w:color="000000" w:sz="4" w:space="0"/>
              <w:bottom w:val="single" w:color="auto" w:sz="4"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621" w:hRule="exact"/>
          <w:jc w:val="center"/>
        </w:trPr>
        <w:tc>
          <w:tcPr>
            <w:tcW w:w="3910"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四、医疗科研经费</w:t>
            </w:r>
          </w:p>
        </w:tc>
        <w:tc>
          <w:tcPr>
            <w:tcW w:w="527" w:type="dxa"/>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w:t>
            </w:r>
          </w:p>
        </w:tc>
        <w:tc>
          <w:tcPr>
            <w:tcW w:w="1186" w:type="dxa"/>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万元</w:t>
            </w:r>
          </w:p>
        </w:tc>
        <w:tc>
          <w:tcPr>
            <w:tcW w:w="2069" w:type="dxa"/>
            <w:gridSpan w:val="2"/>
            <w:tcBorders>
              <w:top w:val="single" w:color="auto" w:sz="4" w:space="0"/>
              <w:left w:val="single" w:color="000000" w:sz="4" w:space="0"/>
              <w:bottom w:val="single" w:color="auto" w:sz="4"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auto" w:sz="4" w:space="0"/>
              <w:left w:val="nil"/>
              <w:bottom w:val="nil"/>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五、医疗器械数量（含耗材试剂）</w:t>
            </w:r>
          </w:p>
        </w:tc>
        <w:tc>
          <w:tcPr>
            <w:tcW w:w="527"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22</w:t>
            </w:r>
          </w:p>
        </w:tc>
        <w:tc>
          <w:tcPr>
            <w:tcW w:w="1186"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件</w:t>
            </w:r>
          </w:p>
        </w:tc>
        <w:tc>
          <w:tcPr>
            <w:tcW w:w="2069" w:type="dxa"/>
            <w:gridSpan w:val="2"/>
            <w:tcBorders>
              <w:top w:val="single" w:color="auto" w:sz="4" w:space="0"/>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其中：特许器械数量</w:t>
            </w:r>
          </w:p>
        </w:tc>
        <w:tc>
          <w:tcPr>
            <w:tcW w:w="527"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23</w:t>
            </w:r>
          </w:p>
        </w:tc>
        <w:tc>
          <w:tcPr>
            <w:tcW w:w="1186"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件</w:t>
            </w:r>
          </w:p>
        </w:tc>
        <w:tc>
          <w:tcPr>
            <w:tcW w:w="2069" w:type="dxa"/>
            <w:gridSpan w:val="2"/>
            <w:tcBorders>
              <w:top w:val="nil"/>
              <w:left w:val="single" w:color="000000" w:sz="4" w:space="0"/>
              <w:bottom w:val="single" w:color="auto" w:sz="4"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auto" w:sz="4" w:space="0"/>
              <w:left w:val="nil"/>
              <w:bottom w:val="nil"/>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六、医疗器械采购金额</w:t>
            </w:r>
          </w:p>
        </w:tc>
        <w:tc>
          <w:tcPr>
            <w:tcW w:w="527"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w:t>
            </w:r>
          </w:p>
        </w:tc>
        <w:tc>
          <w:tcPr>
            <w:tcW w:w="1186"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万元</w:t>
            </w:r>
          </w:p>
        </w:tc>
        <w:tc>
          <w:tcPr>
            <w:tcW w:w="2069" w:type="dxa"/>
            <w:gridSpan w:val="2"/>
            <w:tcBorders>
              <w:top w:val="single" w:color="auto" w:sz="4" w:space="0"/>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其中：特许器械采购金额</w:t>
            </w:r>
          </w:p>
        </w:tc>
        <w:tc>
          <w:tcPr>
            <w:tcW w:w="527"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25</w:t>
            </w:r>
          </w:p>
        </w:tc>
        <w:tc>
          <w:tcPr>
            <w:tcW w:w="1186" w:type="dxa"/>
            <w:tcBorders>
              <w:top w:val="nil"/>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万元</w:t>
            </w:r>
          </w:p>
        </w:tc>
        <w:tc>
          <w:tcPr>
            <w:tcW w:w="2069" w:type="dxa"/>
            <w:gridSpan w:val="2"/>
            <w:tcBorders>
              <w:top w:val="nil"/>
              <w:left w:val="single" w:color="000000" w:sz="4" w:space="0"/>
              <w:bottom w:val="single" w:color="auto" w:sz="4"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single" w:color="auto" w:sz="4"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auto" w:sz="4" w:space="0"/>
              <w:left w:val="nil"/>
              <w:bottom w:val="nil"/>
              <w:right w:val="single" w:color="000000" w:sz="4"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七、药品集中采购金额</w:t>
            </w:r>
          </w:p>
        </w:tc>
        <w:tc>
          <w:tcPr>
            <w:tcW w:w="527"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26</w:t>
            </w:r>
          </w:p>
        </w:tc>
        <w:tc>
          <w:tcPr>
            <w:tcW w:w="1186" w:type="dxa"/>
            <w:tcBorders>
              <w:top w:val="single" w:color="auto" w:sz="4" w:space="0"/>
              <w:left w:val="single" w:color="000000" w:sz="4" w:space="0"/>
              <w:bottom w:val="nil"/>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万元</w:t>
            </w:r>
          </w:p>
        </w:tc>
        <w:tc>
          <w:tcPr>
            <w:tcW w:w="2069" w:type="dxa"/>
            <w:gridSpan w:val="2"/>
            <w:tcBorders>
              <w:top w:val="single" w:color="auto" w:sz="4" w:space="0"/>
              <w:left w:val="single" w:color="000000" w:sz="4" w:space="0"/>
              <w:bottom w:val="nil"/>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auto" w:sz="4" w:space="0"/>
              <w:left w:val="single" w:color="000000" w:sz="4" w:space="0"/>
              <w:bottom w:val="nil"/>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nil"/>
              <w:left w:val="nil"/>
              <w:bottom w:val="single" w:color="000000" w:sz="8" w:space="0"/>
              <w:right w:val="single" w:color="000000" w:sz="4" w:space="0"/>
            </w:tcBorders>
            <w:vAlign w:val="center"/>
          </w:tcPr>
          <w:p>
            <w:pPr>
              <w:keepNext w:val="0"/>
              <w:keepLines w:val="0"/>
              <w:widowControl/>
              <w:suppressLineNumbers w:val="0"/>
              <w:spacing w:before="0" w:beforeAutospacing="0" w:after="0" w:afterAutospacing="0"/>
              <w:ind w:left="0" w:right="0" w:firstLine="360" w:firstLineChars="2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其中：特许药品集中采购金额</w:t>
            </w:r>
          </w:p>
        </w:tc>
        <w:tc>
          <w:tcPr>
            <w:tcW w:w="527" w:type="dxa"/>
            <w:tcBorders>
              <w:top w:val="nil"/>
              <w:left w:val="single" w:color="000000" w:sz="4" w:space="0"/>
              <w:bottom w:val="single" w:color="000000" w:sz="8"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27</w:t>
            </w:r>
          </w:p>
        </w:tc>
        <w:tc>
          <w:tcPr>
            <w:tcW w:w="1186" w:type="dxa"/>
            <w:tcBorders>
              <w:top w:val="nil"/>
              <w:left w:val="single" w:color="000000" w:sz="4" w:space="0"/>
              <w:bottom w:val="single" w:color="000000" w:sz="8"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万元</w:t>
            </w:r>
          </w:p>
        </w:tc>
        <w:tc>
          <w:tcPr>
            <w:tcW w:w="2069" w:type="dxa"/>
            <w:gridSpan w:val="2"/>
            <w:tcBorders>
              <w:top w:val="nil"/>
              <w:left w:val="single" w:color="000000" w:sz="4" w:space="0"/>
              <w:bottom w:val="single" w:color="000000" w:sz="8" w:space="0"/>
              <w:right w:val="single" w:color="000000" w:sz="4"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nil"/>
              <w:left w:val="single" w:color="000000" w:sz="4" w:space="0"/>
              <w:bottom w:val="single" w:color="000000" w:sz="8"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000000" w:sz="8" w:space="0"/>
              <w:left w:val="nil"/>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八、特许药械使用人次</w:t>
            </w:r>
          </w:p>
        </w:tc>
        <w:tc>
          <w:tcPr>
            <w:tcW w:w="527"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28</w:t>
            </w:r>
          </w:p>
        </w:tc>
        <w:tc>
          <w:tcPr>
            <w:tcW w:w="1186"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000000" w:sz="8" w:space="0"/>
              <w:left w:val="single" w:color="000000" w:sz="8" w:space="0"/>
              <w:bottom w:val="single" w:color="000000" w:sz="8"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000000" w:sz="8" w:space="0"/>
              <w:left w:val="nil"/>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九、生物医学新技术使用人次</w:t>
            </w:r>
          </w:p>
        </w:tc>
        <w:tc>
          <w:tcPr>
            <w:tcW w:w="527"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29</w:t>
            </w:r>
          </w:p>
        </w:tc>
        <w:tc>
          <w:tcPr>
            <w:tcW w:w="1186"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人次</w:t>
            </w:r>
          </w:p>
        </w:tc>
        <w:tc>
          <w:tcPr>
            <w:tcW w:w="2069"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000000" w:sz="8" w:space="0"/>
              <w:left w:val="single" w:color="000000" w:sz="8" w:space="0"/>
              <w:bottom w:val="single" w:color="000000" w:sz="8"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000000" w:sz="8" w:space="0"/>
              <w:left w:val="nil"/>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color w:val="000000"/>
                <w:kern w:val="0"/>
                <w:sz w:val="18"/>
                <w:szCs w:val="18"/>
                <w:lang w:val="en-US" w:eastAsia="zh-CN" w:bidi="ar"/>
              </w:rPr>
            </w:pPr>
            <w:r>
              <w:rPr>
                <w:rFonts w:hint="eastAsia" w:ascii="宋体" w:hAnsi="宋体" w:cs="宋体"/>
                <w:b/>
                <w:bCs/>
                <w:color w:val="000000"/>
                <w:kern w:val="0"/>
                <w:sz w:val="18"/>
                <w:szCs w:val="18"/>
                <w:lang w:val="en-US" w:eastAsia="zh-CN" w:bidi="ar"/>
              </w:rPr>
              <w:t>十、特许食品使用人次</w:t>
            </w:r>
          </w:p>
        </w:tc>
        <w:tc>
          <w:tcPr>
            <w:tcW w:w="527"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30</w:t>
            </w:r>
          </w:p>
        </w:tc>
        <w:tc>
          <w:tcPr>
            <w:tcW w:w="1186"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人次</w:t>
            </w:r>
          </w:p>
        </w:tc>
        <w:tc>
          <w:tcPr>
            <w:tcW w:w="2069"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000000" w:sz="8" w:space="0"/>
              <w:left w:val="single" w:color="000000" w:sz="8" w:space="0"/>
              <w:bottom w:val="single" w:color="000000" w:sz="8"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000000" w:sz="8" w:space="0"/>
              <w:left w:val="nil"/>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十</w:t>
            </w:r>
            <w:r>
              <w:rPr>
                <w:rFonts w:hint="eastAsia" w:ascii="宋体" w:hAnsi="宋体" w:cs="宋体"/>
                <w:b/>
                <w:bCs/>
                <w:color w:val="000000"/>
                <w:kern w:val="0"/>
                <w:sz w:val="18"/>
                <w:szCs w:val="18"/>
                <w:lang w:val="en-US" w:eastAsia="zh-CN" w:bidi="ar"/>
              </w:rPr>
              <w:t>一</w:t>
            </w:r>
            <w:r>
              <w:rPr>
                <w:rFonts w:hint="eastAsia" w:ascii="宋体" w:hAnsi="宋体" w:cs="宋体"/>
                <w:b/>
                <w:bCs/>
                <w:color w:val="000000"/>
                <w:kern w:val="0"/>
                <w:sz w:val="18"/>
                <w:szCs w:val="18"/>
                <w:lang w:bidi="ar"/>
              </w:rPr>
              <w:t>、特许药品品种</w:t>
            </w:r>
          </w:p>
        </w:tc>
        <w:tc>
          <w:tcPr>
            <w:tcW w:w="527"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31</w:t>
            </w:r>
          </w:p>
        </w:tc>
        <w:tc>
          <w:tcPr>
            <w:tcW w:w="1186"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种</w:t>
            </w:r>
          </w:p>
        </w:tc>
        <w:tc>
          <w:tcPr>
            <w:tcW w:w="2069"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000000" w:sz="8" w:space="0"/>
              <w:left w:val="single" w:color="000000" w:sz="8" w:space="0"/>
              <w:bottom w:val="single" w:color="000000" w:sz="8"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000000" w:sz="8" w:space="0"/>
              <w:left w:val="nil"/>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color w:val="000000"/>
                <w:kern w:val="0"/>
                <w:sz w:val="18"/>
                <w:szCs w:val="18"/>
                <w:lang w:val="en-US" w:eastAsia="zh-CN" w:bidi="ar"/>
              </w:rPr>
            </w:pPr>
            <w:r>
              <w:rPr>
                <w:rFonts w:hint="eastAsia" w:ascii="宋体" w:hAnsi="宋体" w:cs="宋体"/>
                <w:b/>
                <w:bCs/>
                <w:color w:val="000000"/>
                <w:kern w:val="0"/>
                <w:sz w:val="18"/>
                <w:szCs w:val="18"/>
                <w:lang w:val="en-US" w:eastAsia="zh-CN" w:bidi="ar"/>
              </w:rPr>
              <w:t>十二、特许食品使用品种</w:t>
            </w:r>
          </w:p>
        </w:tc>
        <w:tc>
          <w:tcPr>
            <w:tcW w:w="527"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32</w:t>
            </w:r>
          </w:p>
        </w:tc>
        <w:tc>
          <w:tcPr>
            <w:tcW w:w="1186"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种</w:t>
            </w:r>
          </w:p>
        </w:tc>
        <w:tc>
          <w:tcPr>
            <w:tcW w:w="2069" w:type="dxa"/>
            <w:gridSpan w:val="2"/>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000000" w:sz="8" w:space="0"/>
              <w:left w:val="single" w:color="000000" w:sz="8" w:space="0"/>
              <w:bottom w:val="single" w:color="000000" w:sz="8" w:space="0"/>
              <w:right w:val="nil"/>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386" w:hRule="exact"/>
          <w:jc w:val="center"/>
        </w:trPr>
        <w:tc>
          <w:tcPr>
            <w:tcW w:w="3910" w:type="dxa"/>
            <w:tcBorders>
              <w:top w:val="single" w:color="000000" w:sz="8" w:space="0"/>
              <w:left w:val="nil"/>
              <w:bottom w:val="single" w:color="000000" w:sz="12" w:space="0"/>
              <w:right w:val="single" w:color="000000" w:sz="8" w:space="0"/>
            </w:tcBorders>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十</w:t>
            </w:r>
            <w:r>
              <w:rPr>
                <w:rFonts w:hint="eastAsia" w:ascii="宋体" w:hAnsi="宋体" w:cs="宋体"/>
                <w:b/>
                <w:bCs/>
                <w:color w:val="000000"/>
                <w:kern w:val="0"/>
                <w:sz w:val="18"/>
                <w:szCs w:val="18"/>
                <w:lang w:val="en-US" w:eastAsia="zh-CN" w:bidi="ar"/>
              </w:rPr>
              <w:t>三</w:t>
            </w:r>
            <w:r>
              <w:rPr>
                <w:rFonts w:hint="eastAsia" w:ascii="宋体" w:hAnsi="宋体" w:cs="宋体"/>
                <w:b/>
                <w:bCs/>
                <w:color w:val="000000"/>
                <w:kern w:val="0"/>
                <w:sz w:val="18"/>
                <w:szCs w:val="18"/>
                <w:lang w:bidi="ar"/>
              </w:rPr>
              <w:t>、药品期末余额</w:t>
            </w:r>
          </w:p>
        </w:tc>
        <w:tc>
          <w:tcPr>
            <w:tcW w:w="527" w:type="dxa"/>
            <w:tcBorders>
              <w:top w:val="single" w:color="000000" w:sz="8" w:space="0"/>
              <w:left w:val="single" w:color="000000" w:sz="8" w:space="0"/>
              <w:bottom w:val="single" w:color="000000" w:sz="12"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33</w:t>
            </w:r>
          </w:p>
        </w:tc>
        <w:tc>
          <w:tcPr>
            <w:tcW w:w="1186" w:type="dxa"/>
            <w:tcBorders>
              <w:top w:val="single" w:color="000000" w:sz="8" w:space="0"/>
              <w:left w:val="single" w:color="000000" w:sz="8" w:space="0"/>
              <w:bottom w:val="single" w:color="000000" w:sz="12" w:space="0"/>
              <w:right w:val="single" w:color="000000" w:sz="8"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万元</w:t>
            </w:r>
          </w:p>
        </w:tc>
        <w:tc>
          <w:tcPr>
            <w:tcW w:w="2069" w:type="dxa"/>
            <w:gridSpan w:val="2"/>
            <w:tcBorders>
              <w:top w:val="single" w:color="000000" w:sz="8" w:space="0"/>
              <w:left w:val="single" w:color="000000" w:sz="8" w:space="0"/>
              <w:bottom w:val="single" w:color="000000" w:sz="12" w:space="0"/>
              <w:right w:val="single" w:color="000000" w:sz="8" w:space="0"/>
            </w:tcBorders>
            <w:vAlign w:val="center"/>
          </w:tcPr>
          <w:p>
            <w:pPr>
              <w:keepNext w:val="0"/>
              <w:keepLines w:val="0"/>
              <w:suppressLineNumbers w:val="0"/>
              <w:spacing w:before="0" w:beforeAutospacing="0" w:after="0" w:afterAutospacing="0"/>
              <w:ind w:left="0" w:right="0"/>
              <w:jc w:val="left"/>
              <w:rPr>
                <w:rFonts w:hint="eastAsia" w:ascii="宋体" w:hAnsi="宋体" w:cs="宋体"/>
                <w:color w:val="000000"/>
                <w:sz w:val="18"/>
                <w:szCs w:val="18"/>
              </w:rPr>
            </w:pPr>
          </w:p>
        </w:tc>
        <w:tc>
          <w:tcPr>
            <w:tcW w:w="1897" w:type="dxa"/>
            <w:tcBorders>
              <w:top w:val="single" w:color="000000" w:sz="8" w:space="0"/>
              <w:left w:val="single" w:color="000000" w:sz="8" w:space="0"/>
              <w:bottom w:val="single" w:color="000000" w:sz="12" w:space="0"/>
              <w:right w:val="nil"/>
            </w:tcBorders>
            <w:noWrap/>
            <w:vAlign w:val="center"/>
          </w:tcPr>
          <w:p>
            <w:pPr>
              <w:keepNext w:val="0"/>
              <w:keepLines w:val="0"/>
              <w:suppressLineNumbers w:val="0"/>
              <w:spacing w:before="0" w:beforeAutospacing="0" w:after="0" w:afterAutospacing="0"/>
              <w:ind w:left="0" w:right="0"/>
              <w:rPr>
                <w:rFonts w:hint="eastAsia" w:ascii="宋体" w:hAnsi="宋体" w:cs="宋体"/>
                <w:color w:val="000000"/>
                <w:sz w:val="18"/>
                <w:szCs w:val="18"/>
              </w:rPr>
            </w:pPr>
          </w:p>
        </w:tc>
      </w:tr>
    </w:tbl>
    <w:p>
      <w:pPr>
        <w:keepNext/>
        <w:keepLines/>
        <w:spacing w:line="600" w:lineRule="exact"/>
        <w:outlineLvl w:val="1"/>
        <w:rPr>
          <w:rFonts w:hint="eastAsia" w:ascii="宋体" w:hAnsi="宋体" w:cs="宋体"/>
          <w:color w:val="000000"/>
          <w:kern w:val="0"/>
          <w:sz w:val="18"/>
          <w:szCs w:val="18"/>
          <w:lang w:bidi="ar"/>
        </w:rPr>
      </w:pPr>
      <w:bookmarkStart w:id="11" w:name="_Toc20525"/>
      <w:bookmarkStart w:id="12" w:name="_Toc14239"/>
      <w:r>
        <w:rPr>
          <w:rFonts w:hint="eastAsia" w:ascii="宋体" w:hAnsi="宋体" w:cs="宋体"/>
          <w:color w:val="000000"/>
          <w:kern w:val="0"/>
          <w:sz w:val="18"/>
          <w:szCs w:val="18"/>
          <w:lang w:bidi="ar"/>
        </w:rPr>
        <w:t>统计负责人：      填表人：           联系电话：                               报出日期：202  年   月  日</w:t>
      </w:r>
      <w:bookmarkEnd w:id="11"/>
      <w:bookmarkEnd w:id="12"/>
    </w:p>
    <w:p>
      <w:pPr>
        <w:widowControl/>
        <w:ind w:firstLine="360" w:firstLineChars="200"/>
        <w:jc w:val="left"/>
        <w:rPr>
          <w:rFonts w:ascii="宋体" w:cs="宋体"/>
          <w:color w:val="000000"/>
          <w:kern w:val="0"/>
          <w:sz w:val="18"/>
          <w:szCs w:val="18"/>
        </w:rPr>
      </w:pPr>
      <w:r>
        <w:rPr>
          <w:rFonts w:hint="eastAsia" w:ascii="宋体" w:cs="宋体"/>
          <w:color w:val="000000"/>
          <w:kern w:val="0"/>
          <w:sz w:val="18"/>
          <w:szCs w:val="18"/>
        </w:rPr>
        <w:t>说明：1.</w:t>
      </w:r>
      <w:r>
        <w:rPr>
          <w:rFonts w:hint="eastAsia" w:ascii="宋体" w:cs="宋体"/>
          <w:color w:val="000000"/>
          <w:kern w:val="0"/>
          <w:sz w:val="18"/>
          <w:szCs w:val="18"/>
          <w:lang w:val="en-US" w:eastAsia="zh-CN"/>
        </w:rPr>
        <w:t>统计范围</w:t>
      </w:r>
      <w:r>
        <w:rPr>
          <w:rFonts w:hint="eastAsia" w:ascii="宋体" w:cs="宋体"/>
          <w:color w:val="000000"/>
          <w:kern w:val="0"/>
          <w:sz w:val="18"/>
          <w:szCs w:val="18"/>
        </w:rPr>
        <w:t>：本表由园区医疗机构、乐城国际创新药械展、博鳌乐城国际医学产业中心、上海交通大学医学院海南国际医学中心、为医疗旅游人群提供住宿服务等涉医旅法人单位、事业单位及产业活动单位。</w:t>
      </w:r>
    </w:p>
    <w:p>
      <w:pPr>
        <w:pStyle w:val="3"/>
        <w:ind w:firstLine="900" w:firstLineChars="500"/>
        <w:rPr>
          <w:rFonts w:hint="eastAsia" w:ascii="宋体" w:cs="宋体"/>
          <w:color w:val="000000"/>
          <w:kern w:val="0"/>
          <w:sz w:val="18"/>
          <w:szCs w:val="18"/>
        </w:rPr>
      </w:pPr>
      <w:r>
        <w:rPr>
          <w:rFonts w:hint="eastAsia" w:ascii="宋体" w:cs="宋体"/>
          <w:color w:val="000000"/>
          <w:kern w:val="0"/>
          <w:sz w:val="18"/>
          <w:szCs w:val="18"/>
        </w:rPr>
        <w:t>2.逻辑关系：01=02+04+06+08+10+12+14；02＞03；04＞05；06＞07；08＞09；10＞11；12＞13；14＞15。</w:t>
      </w:r>
    </w:p>
    <w:p>
      <w:pPr>
        <w:pStyle w:val="3"/>
        <w:ind w:firstLine="900" w:firstLineChars="500"/>
        <w:rPr>
          <w:rFonts w:ascii="宋体" w:hAnsi="Calibri Light"/>
          <w:bCs/>
          <w:color w:val="000000"/>
          <w:sz w:val="32"/>
          <w:szCs w:val="32"/>
        </w:rPr>
      </w:pPr>
      <w:r>
        <w:rPr>
          <w:rFonts w:hint="eastAsia" w:ascii="宋体" w:cs="宋体"/>
          <w:color w:val="000000"/>
          <w:kern w:val="0"/>
          <w:sz w:val="18"/>
          <w:szCs w:val="18"/>
          <w:lang w:val="en-US" w:eastAsia="zh-CN"/>
        </w:rPr>
        <w:t>3.统计时间：次月</w:t>
      </w:r>
      <w:r>
        <w:rPr>
          <w:rFonts w:hint="eastAsia" w:ascii="宋体"/>
          <w:sz w:val="18"/>
          <w:szCs w:val="18"/>
        </w:rPr>
        <w:t>1日0时</w:t>
      </w:r>
      <w:r>
        <w:rPr>
          <w:rFonts w:hint="eastAsia" w:ascii="宋体"/>
          <w:sz w:val="18"/>
          <w:szCs w:val="18"/>
          <w:lang w:val="en-US" w:eastAsia="zh-CN"/>
        </w:rPr>
        <w:t>-次月</w:t>
      </w:r>
      <w:r>
        <w:rPr>
          <w:rFonts w:hint="eastAsia" w:ascii="宋体"/>
          <w:sz w:val="18"/>
          <w:szCs w:val="18"/>
        </w:rPr>
        <w:t>10日12时</w:t>
      </w: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keepNext/>
        <w:keepLines/>
        <w:spacing w:before="120" w:after="120" w:line="600" w:lineRule="exact"/>
        <w:jc w:val="center"/>
        <w:outlineLvl w:val="1"/>
        <w:rPr>
          <w:rFonts w:ascii="宋体" w:hAnsi="Calibri Light"/>
          <w:bCs/>
          <w:color w:val="000000"/>
          <w:sz w:val="32"/>
          <w:szCs w:val="32"/>
        </w:rPr>
      </w:pPr>
    </w:p>
    <w:p>
      <w:pPr>
        <w:pStyle w:val="3"/>
        <w:ind w:left="0" w:leftChars="0" w:firstLine="0" w:firstLineChars="0"/>
      </w:pPr>
    </w:p>
    <w:p>
      <w:pPr>
        <w:pStyle w:val="2"/>
        <w:spacing w:before="0" w:after="0" w:line="600" w:lineRule="exact"/>
        <w:jc w:val="center"/>
        <w:rPr>
          <w:rFonts w:ascii="宋体"/>
          <w:b w:val="0"/>
          <w:color w:val="000000"/>
        </w:rPr>
      </w:pPr>
      <w:bookmarkStart w:id="13" w:name="_Toc15749"/>
      <w:bookmarkStart w:id="14" w:name="_Toc4748"/>
      <w:r>
        <w:rPr>
          <w:rFonts w:hint="eastAsia" w:ascii="宋体"/>
          <w:b w:val="0"/>
          <w:color w:val="000000"/>
        </w:rPr>
        <w:t>（二）企业人员情况</w:t>
      </w:r>
      <w:bookmarkEnd w:id="13"/>
      <w:bookmarkEnd w:id="14"/>
    </w:p>
    <w:tbl>
      <w:tblPr>
        <w:tblStyle w:val="11"/>
        <w:tblW w:w="9141" w:type="dxa"/>
        <w:jc w:val="center"/>
        <w:tblLayout w:type="fixed"/>
        <w:tblCellMar>
          <w:top w:w="0" w:type="dxa"/>
          <w:left w:w="108" w:type="dxa"/>
          <w:bottom w:w="0" w:type="dxa"/>
          <w:right w:w="108" w:type="dxa"/>
        </w:tblCellMar>
      </w:tblPr>
      <w:tblGrid>
        <w:gridCol w:w="3153"/>
        <w:gridCol w:w="709"/>
        <w:gridCol w:w="709"/>
        <w:gridCol w:w="1204"/>
        <w:gridCol w:w="319"/>
        <w:gridCol w:w="1523"/>
        <w:gridCol w:w="1524"/>
      </w:tblGrid>
      <w:tr>
        <w:tblPrEx>
          <w:tblCellMar>
            <w:top w:w="0" w:type="dxa"/>
            <w:left w:w="108" w:type="dxa"/>
            <w:bottom w:w="0" w:type="dxa"/>
            <w:right w:w="108" w:type="dxa"/>
          </w:tblCellMar>
        </w:tblPrEx>
        <w:trPr>
          <w:trHeight w:val="488" w:hRule="exact"/>
          <w:jc w:val="center"/>
        </w:trPr>
        <w:tc>
          <w:tcPr>
            <w:tcW w:w="5775" w:type="dxa"/>
            <w:gridSpan w:val="4"/>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66" w:type="dxa"/>
            <w:gridSpan w:val="3"/>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宋体" w:cs="宋体"/>
                <w:color w:val="000000"/>
                <w:kern w:val="0"/>
                <w:sz w:val="18"/>
                <w:szCs w:val="18"/>
              </w:rPr>
            </w:pPr>
            <w:r>
              <w:rPr>
                <w:rFonts w:hint="eastAsia" w:ascii="宋体" w:cs="宋体"/>
                <w:color w:val="000000"/>
                <w:kern w:val="0"/>
                <w:sz w:val="18"/>
                <w:szCs w:val="18"/>
              </w:rPr>
              <w:t xml:space="preserve">表    号： </w:t>
            </w:r>
            <w:r>
              <w:rPr>
                <w:rFonts w:hint="eastAsia" w:ascii="宋体"/>
                <w:color w:val="000000"/>
                <w:sz w:val="18"/>
                <w:szCs w:val="18"/>
              </w:rPr>
              <w:t>HLC企02表</w:t>
            </w:r>
          </w:p>
        </w:tc>
      </w:tr>
      <w:tr>
        <w:tblPrEx>
          <w:tblCellMar>
            <w:top w:w="0" w:type="dxa"/>
            <w:left w:w="108" w:type="dxa"/>
            <w:bottom w:w="0" w:type="dxa"/>
            <w:right w:w="108" w:type="dxa"/>
          </w:tblCellMar>
        </w:tblPrEx>
        <w:trPr>
          <w:trHeight w:val="698" w:hRule="exact"/>
          <w:jc w:val="center"/>
        </w:trPr>
        <w:tc>
          <w:tcPr>
            <w:tcW w:w="5775" w:type="dxa"/>
            <w:gridSpan w:val="4"/>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66" w:type="dxa"/>
            <w:gridSpan w:val="3"/>
            <w:tcBorders>
              <w:top w:val="nil"/>
              <w:left w:val="nil"/>
              <w:bottom w:val="nil"/>
              <w:right w:val="nil"/>
            </w:tcBorders>
            <w:vAlign w:val="center"/>
          </w:tcPr>
          <w:p>
            <w:pPr>
              <w:keepNext w:val="0"/>
              <w:keepLines w:val="0"/>
              <w:suppressLineNumbers w:val="0"/>
              <w:spacing w:before="0" w:beforeAutospacing="0" w:after="0" w:afterAutospacing="0" w:line="340" w:lineRule="exact"/>
              <w:ind w:left="0" w:right="0"/>
              <w:jc w:val="left"/>
              <w:rPr>
                <w:rFonts w:hint="default" w:ascii="宋体" w:cs="宋体"/>
                <w:color w:val="000000"/>
                <w:kern w:val="0"/>
                <w:sz w:val="18"/>
                <w:szCs w:val="18"/>
              </w:rPr>
            </w:pPr>
            <w:r>
              <w:rPr>
                <w:rFonts w:hint="eastAsia" w:ascii="宋体" w:cs="宋体"/>
                <w:color w:val="000000"/>
                <w:kern w:val="0"/>
                <w:sz w:val="18"/>
                <w:szCs w:val="18"/>
              </w:rPr>
              <w:t>制定机关：博鳌乐城国际医疗旅游</w:t>
            </w:r>
          </w:p>
          <w:p>
            <w:pPr>
              <w:keepNext w:val="0"/>
              <w:keepLines w:val="0"/>
              <w:suppressLineNumbers w:val="0"/>
              <w:spacing w:before="0" w:beforeAutospacing="0" w:after="0" w:afterAutospacing="0" w:line="340" w:lineRule="exact"/>
              <w:ind w:left="0" w:right="0" w:firstLine="900" w:firstLineChars="500"/>
              <w:jc w:val="left"/>
              <w:rPr>
                <w:rFonts w:hint="default" w:ascii="宋体" w:cs="宋体"/>
                <w:color w:val="000000"/>
                <w:kern w:val="0"/>
                <w:sz w:val="18"/>
                <w:szCs w:val="18"/>
              </w:rPr>
            </w:pPr>
            <w:r>
              <w:rPr>
                <w:rFonts w:hint="eastAsia" w:ascii="宋体" w:cs="宋体"/>
                <w:color w:val="000000"/>
                <w:kern w:val="0"/>
                <w:sz w:val="18"/>
                <w:szCs w:val="18"/>
              </w:rPr>
              <w:t>先行区管理局</w:t>
            </w:r>
          </w:p>
        </w:tc>
      </w:tr>
      <w:tr>
        <w:tblPrEx>
          <w:tblCellMar>
            <w:top w:w="0" w:type="dxa"/>
            <w:left w:w="108" w:type="dxa"/>
            <w:bottom w:w="0" w:type="dxa"/>
            <w:right w:w="108" w:type="dxa"/>
          </w:tblCellMar>
        </w:tblPrEx>
        <w:trPr>
          <w:trHeight w:val="488" w:hRule="exact"/>
          <w:jc w:val="center"/>
        </w:trPr>
        <w:tc>
          <w:tcPr>
            <w:tcW w:w="5775" w:type="dxa"/>
            <w:gridSpan w:val="4"/>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r>
              <w:rPr>
                <w:rFonts w:hint="eastAsia" w:ascii="宋体" w:cs="宋体"/>
                <w:color w:val="000000"/>
                <w:kern w:val="0"/>
                <w:sz w:val="18"/>
                <w:szCs w:val="18"/>
              </w:rPr>
              <w:t>统一社会信用代码：</w:t>
            </w:r>
          </w:p>
        </w:tc>
        <w:tc>
          <w:tcPr>
            <w:tcW w:w="3366" w:type="dxa"/>
            <w:gridSpan w:val="3"/>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批准机关：</w:t>
            </w:r>
          </w:p>
        </w:tc>
      </w:tr>
      <w:tr>
        <w:tblPrEx>
          <w:tblCellMar>
            <w:top w:w="0" w:type="dxa"/>
            <w:left w:w="108" w:type="dxa"/>
            <w:bottom w:w="0" w:type="dxa"/>
            <w:right w:w="108" w:type="dxa"/>
          </w:tblCellMar>
        </w:tblPrEx>
        <w:trPr>
          <w:trHeight w:val="488" w:hRule="exact"/>
          <w:jc w:val="center"/>
        </w:trPr>
        <w:tc>
          <w:tcPr>
            <w:tcW w:w="5775" w:type="dxa"/>
            <w:gridSpan w:val="4"/>
            <w:tcBorders>
              <w:top w:val="nil"/>
              <w:left w:val="nil"/>
              <w:bottom w:val="nil"/>
              <w:right w:val="nil"/>
            </w:tcBorders>
            <w:vAlign w:val="center"/>
          </w:tcPr>
          <w:p>
            <w:pPr>
              <w:keepNext w:val="0"/>
              <w:keepLines w:val="0"/>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66" w:type="dxa"/>
            <w:gridSpan w:val="3"/>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批准文号：</w:t>
            </w:r>
          </w:p>
        </w:tc>
      </w:tr>
      <w:tr>
        <w:tblPrEx>
          <w:tblCellMar>
            <w:top w:w="0" w:type="dxa"/>
            <w:left w:w="108" w:type="dxa"/>
            <w:bottom w:w="0" w:type="dxa"/>
            <w:right w:w="108" w:type="dxa"/>
          </w:tblCellMar>
        </w:tblPrEx>
        <w:trPr>
          <w:trHeight w:val="488" w:hRule="exact"/>
          <w:jc w:val="center"/>
        </w:trPr>
        <w:tc>
          <w:tcPr>
            <w:tcW w:w="5775" w:type="dxa"/>
            <w:gridSpan w:val="4"/>
            <w:tcBorders>
              <w:top w:val="nil"/>
              <w:left w:val="nil"/>
              <w:bottom w:val="nil"/>
              <w:right w:val="nil"/>
            </w:tcBorders>
            <w:vAlign w:val="center"/>
          </w:tcPr>
          <w:p>
            <w:pPr>
              <w:keepNext w:val="0"/>
              <w:keepLines w:val="0"/>
              <w:suppressLineNumbers w:val="0"/>
              <w:spacing w:before="0" w:beforeAutospacing="0" w:after="0" w:afterAutospacing="0" w:line="480" w:lineRule="auto"/>
              <w:ind w:left="0" w:right="0"/>
              <w:jc w:val="left"/>
              <w:rPr>
                <w:rFonts w:hint="default" w:ascii="宋体" w:cs="宋体"/>
                <w:color w:val="000000"/>
                <w:kern w:val="0"/>
                <w:sz w:val="18"/>
                <w:szCs w:val="18"/>
              </w:rPr>
            </w:pPr>
            <w:r>
              <w:rPr>
                <w:rFonts w:hint="eastAsia" w:ascii="宋体" w:cs="宋体"/>
                <w:color w:val="000000"/>
                <w:kern w:val="0"/>
                <w:sz w:val="18"/>
                <w:szCs w:val="18"/>
              </w:rPr>
              <w:t xml:space="preserve">单位详细名称：                                </w:t>
            </w:r>
          </w:p>
        </w:tc>
        <w:tc>
          <w:tcPr>
            <w:tcW w:w="3366" w:type="dxa"/>
            <w:gridSpan w:val="3"/>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有效期至：</w:t>
            </w:r>
          </w:p>
        </w:tc>
      </w:tr>
      <w:tr>
        <w:tblPrEx>
          <w:tblCellMar>
            <w:top w:w="0" w:type="dxa"/>
            <w:left w:w="108" w:type="dxa"/>
            <w:bottom w:w="0" w:type="dxa"/>
            <w:right w:w="108" w:type="dxa"/>
          </w:tblCellMar>
        </w:tblPrEx>
        <w:trPr>
          <w:trHeight w:val="561" w:hRule="exact"/>
          <w:jc w:val="center"/>
        </w:trPr>
        <w:tc>
          <w:tcPr>
            <w:tcW w:w="9141" w:type="dxa"/>
            <w:gridSpan w:val="7"/>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18"/>
                <w:szCs w:val="18"/>
              </w:rPr>
            </w:pPr>
            <w:r>
              <w:rPr>
                <w:rFonts w:hint="eastAsia" w:ascii="宋体" w:hAnsi="宋体" w:cs="宋体"/>
                <w:color w:val="000000"/>
                <w:kern w:val="0"/>
                <w:sz w:val="22"/>
                <w:szCs w:val="22"/>
                <w:lang w:bidi="ar"/>
              </w:rPr>
              <w:t>202  年    季</w:t>
            </w:r>
          </w:p>
        </w:tc>
      </w:tr>
      <w:tr>
        <w:tblPrEx>
          <w:tblCellMar>
            <w:top w:w="0" w:type="dxa"/>
            <w:left w:w="108" w:type="dxa"/>
            <w:bottom w:w="0" w:type="dxa"/>
            <w:right w:w="108" w:type="dxa"/>
          </w:tblCellMar>
        </w:tblPrEx>
        <w:trPr>
          <w:trHeight w:val="403" w:hRule="atLeast"/>
          <w:jc w:val="center"/>
        </w:trPr>
        <w:tc>
          <w:tcPr>
            <w:tcW w:w="3153" w:type="dxa"/>
            <w:tcBorders>
              <w:top w:val="single" w:color="auto" w:sz="12"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指标名称</w:t>
            </w:r>
          </w:p>
        </w:tc>
        <w:tc>
          <w:tcPr>
            <w:tcW w:w="709" w:type="dxa"/>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代码</w:t>
            </w:r>
          </w:p>
        </w:tc>
        <w:tc>
          <w:tcPr>
            <w:tcW w:w="709" w:type="dxa"/>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单位</w:t>
            </w:r>
          </w:p>
        </w:tc>
        <w:tc>
          <w:tcPr>
            <w:tcW w:w="1523" w:type="dxa"/>
            <w:gridSpan w:val="2"/>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期末人员数</w:t>
            </w:r>
          </w:p>
        </w:tc>
        <w:tc>
          <w:tcPr>
            <w:tcW w:w="1523" w:type="dxa"/>
            <w:tcBorders>
              <w:top w:val="single" w:color="auto" w:sz="12" w:space="0"/>
              <w:left w:val="single" w:color="auto" w:sz="8" w:space="0"/>
              <w:bottom w:val="single" w:color="auto" w:sz="8" w:space="0"/>
              <w:right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本季新增人数</w:t>
            </w:r>
          </w:p>
        </w:tc>
        <w:tc>
          <w:tcPr>
            <w:tcW w:w="1524" w:type="dxa"/>
            <w:tcBorders>
              <w:top w:val="single" w:color="auto" w:sz="12" w:space="0"/>
              <w:left w:val="single" w:color="auto" w:sz="8" w:space="0"/>
              <w:bottom w:val="single" w:color="auto" w:sz="8" w:space="0"/>
              <w:right w:val="nil"/>
            </w:tcBorders>
            <w:vAlign w:val="center"/>
          </w:tcPr>
          <w:p>
            <w:pPr>
              <w:keepNext w:val="0"/>
              <w:keepLines w:val="0"/>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本季减少人数</w:t>
            </w:r>
          </w:p>
        </w:tc>
      </w:tr>
      <w:tr>
        <w:tblPrEx>
          <w:tblCellMar>
            <w:top w:w="0" w:type="dxa"/>
            <w:left w:w="108" w:type="dxa"/>
            <w:bottom w:w="0" w:type="dxa"/>
            <w:right w:w="108" w:type="dxa"/>
          </w:tblCellMar>
        </w:tblPrEx>
        <w:trPr>
          <w:trHeight w:val="358" w:hRule="atLeast"/>
          <w:jc w:val="center"/>
        </w:trPr>
        <w:tc>
          <w:tcPr>
            <w:tcW w:w="3153" w:type="dxa"/>
            <w:tcBorders>
              <w:top w:val="single" w:color="auto" w:sz="8"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甲</w:t>
            </w:r>
          </w:p>
        </w:tc>
        <w:tc>
          <w:tcPr>
            <w:tcW w:w="70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乙</w:t>
            </w:r>
          </w:p>
        </w:tc>
        <w:tc>
          <w:tcPr>
            <w:tcW w:w="70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丙</w:t>
            </w:r>
          </w:p>
        </w:tc>
        <w:tc>
          <w:tcPr>
            <w:tcW w:w="152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w:t>
            </w:r>
          </w:p>
        </w:tc>
        <w:tc>
          <w:tcPr>
            <w:tcW w:w="1523" w:type="dxa"/>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2</w:t>
            </w:r>
          </w:p>
        </w:tc>
        <w:tc>
          <w:tcPr>
            <w:tcW w:w="1524" w:type="dxa"/>
            <w:tcBorders>
              <w:top w:val="single" w:color="auto" w:sz="8" w:space="0"/>
              <w:left w:val="single" w:color="auto" w:sz="8" w:space="0"/>
              <w:bottom w:val="single" w:color="auto" w:sz="8" w:space="0"/>
              <w:right w:val="nil"/>
            </w:tcBorders>
            <w:vAlign w:val="center"/>
          </w:tcPr>
          <w:p>
            <w:pPr>
              <w:keepNext w:val="0"/>
              <w:keepLines w:val="0"/>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3</w:t>
            </w:r>
          </w:p>
        </w:tc>
      </w:tr>
      <w:tr>
        <w:tblPrEx>
          <w:tblCellMar>
            <w:top w:w="0" w:type="dxa"/>
            <w:left w:w="108" w:type="dxa"/>
            <w:bottom w:w="0" w:type="dxa"/>
            <w:right w:w="108" w:type="dxa"/>
          </w:tblCellMar>
        </w:tblPrEx>
        <w:trPr>
          <w:trHeight w:val="386" w:hRule="exact"/>
          <w:jc w:val="center"/>
        </w:trPr>
        <w:tc>
          <w:tcPr>
            <w:tcW w:w="3153" w:type="dxa"/>
            <w:tcBorders>
              <w:top w:val="single" w:color="auto" w:sz="8" w:space="0"/>
              <w:left w:val="nil"/>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期末从业人员数</w:t>
            </w:r>
          </w:p>
        </w:tc>
        <w:tc>
          <w:tcPr>
            <w:tcW w:w="709" w:type="dxa"/>
            <w:tcBorders>
              <w:top w:val="single" w:color="auto" w:sz="8"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01</w:t>
            </w:r>
          </w:p>
        </w:tc>
        <w:tc>
          <w:tcPr>
            <w:tcW w:w="709" w:type="dxa"/>
            <w:tcBorders>
              <w:top w:val="single" w:color="auto" w:sz="8"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single" w:color="auto" w:sz="8"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single" w:color="auto" w:sz="8"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single" w:color="auto" w:sz="8" w:space="0"/>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left"/>
              <w:rPr>
                <w:rFonts w:hint="default" w:ascii="宋体" w:cs="宋体"/>
                <w:color w:val="000000"/>
                <w:kern w:val="0"/>
                <w:sz w:val="18"/>
                <w:szCs w:val="18"/>
              </w:rPr>
            </w:pPr>
            <w:r>
              <w:rPr>
                <w:rFonts w:hint="eastAsia" w:ascii="宋体" w:cs="宋体"/>
                <w:color w:val="000000"/>
                <w:kern w:val="0"/>
                <w:sz w:val="18"/>
                <w:szCs w:val="18"/>
              </w:rPr>
              <w:t>其中：琼海市常住居民从业人员数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02</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left"/>
              <w:rPr>
                <w:rFonts w:hint="default" w:ascii="宋体" w:cs="宋体"/>
                <w:color w:val="000000"/>
                <w:kern w:val="0"/>
                <w:sz w:val="18"/>
                <w:szCs w:val="18"/>
              </w:rPr>
            </w:pPr>
            <w:r>
              <w:rPr>
                <w:rFonts w:hint="eastAsia" w:ascii="宋体" w:cs="宋体"/>
                <w:color w:val="000000"/>
                <w:kern w:val="0"/>
                <w:sz w:val="18"/>
                <w:szCs w:val="18"/>
              </w:rPr>
              <w:t>其中：海外留学人数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03</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left"/>
              <w:rPr>
                <w:rFonts w:hint="default" w:ascii="宋体" w:cs="宋体"/>
                <w:color w:val="000000"/>
                <w:kern w:val="0"/>
                <w:sz w:val="18"/>
                <w:szCs w:val="18"/>
              </w:rPr>
            </w:pPr>
            <w:r>
              <w:rPr>
                <w:rFonts w:hint="eastAsia" w:ascii="宋体" w:cs="宋体"/>
                <w:color w:val="000000"/>
                <w:kern w:val="0"/>
                <w:sz w:val="18"/>
                <w:szCs w:val="18"/>
              </w:rPr>
              <w:t>其中：博士生人数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04</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firstLine="540" w:firstLineChars="300"/>
              <w:jc w:val="left"/>
              <w:rPr>
                <w:rFonts w:hint="default" w:ascii="宋体" w:cs="宋体"/>
                <w:color w:val="000000"/>
                <w:kern w:val="0"/>
                <w:sz w:val="18"/>
                <w:szCs w:val="18"/>
              </w:rPr>
            </w:pPr>
            <w:r>
              <w:rPr>
                <w:rFonts w:hint="eastAsia" w:ascii="宋体" w:cs="宋体"/>
                <w:color w:val="000000"/>
                <w:kern w:val="0"/>
                <w:sz w:val="18"/>
                <w:szCs w:val="18"/>
              </w:rPr>
              <w:t>硕士生人数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05</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firstLine="540" w:firstLineChars="300"/>
              <w:jc w:val="left"/>
              <w:rPr>
                <w:rFonts w:hint="default" w:ascii="宋体" w:cs="宋体"/>
                <w:color w:val="000000"/>
                <w:kern w:val="0"/>
                <w:sz w:val="18"/>
                <w:szCs w:val="18"/>
              </w:rPr>
            </w:pPr>
            <w:r>
              <w:rPr>
                <w:rFonts w:hint="eastAsia" w:ascii="宋体" w:cs="宋体"/>
                <w:color w:val="000000"/>
                <w:kern w:val="0"/>
                <w:sz w:val="18"/>
                <w:szCs w:val="18"/>
              </w:rPr>
              <w:t>本科生人数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06</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180" w:firstLineChars="100"/>
              <w:jc w:val="left"/>
              <w:rPr>
                <w:rFonts w:hint="default" w:ascii="宋体" w:cs="宋体"/>
                <w:color w:val="000000"/>
                <w:kern w:val="0"/>
                <w:sz w:val="18"/>
                <w:szCs w:val="18"/>
              </w:rPr>
            </w:pPr>
            <w:r>
              <w:rPr>
                <w:rFonts w:hint="eastAsia" w:ascii="宋体" w:cs="宋体"/>
                <w:color w:val="000000"/>
                <w:kern w:val="0"/>
                <w:sz w:val="18"/>
                <w:szCs w:val="18"/>
              </w:rPr>
              <w:t>其中：高级职称人数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07</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firstLine="540" w:firstLineChars="300"/>
              <w:jc w:val="left"/>
              <w:rPr>
                <w:rFonts w:hint="default" w:ascii="宋体" w:cs="宋体"/>
                <w:color w:val="000000"/>
                <w:kern w:val="0"/>
                <w:sz w:val="18"/>
                <w:szCs w:val="18"/>
              </w:rPr>
            </w:pPr>
            <w:r>
              <w:rPr>
                <w:rFonts w:hint="eastAsia" w:ascii="宋体" w:cs="宋体"/>
                <w:color w:val="000000"/>
                <w:kern w:val="0"/>
                <w:sz w:val="18"/>
                <w:szCs w:val="18"/>
              </w:rPr>
              <w:t>中级职称人数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08</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210" w:leftChars="100" w:right="0" w:firstLine="540" w:firstLineChars="300"/>
              <w:jc w:val="left"/>
              <w:rPr>
                <w:rFonts w:hint="default" w:ascii="宋体" w:cs="宋体"/>
                <w:color w:val="000000"/>
                <w:kern w:val="0"/>
                <w:sz w:val="18"/>
                <w:szCs w:val="18"/>
              </w:rPr>
            </w:pPr>
            <w:r>
              <w:rPr>
                <w:rFonts w:hint="eastAsia" w:ascii="宋体" w:cs="宋体"/>
                <w:color w:val="000000"/>
                <w:kern w:val="0"/>
                <w:sz w:val="18"/>
                <w:szCs w:val="18"/>
              </w:rPr>
              <w:t>初级职称人数</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09</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180" w:firstLineChars="100"/>
              <w:jc w:val="left"/>
              <w:rPr>
                <w:rFonts w:hint="default" w:ascii="宋体" w:cs="宋体"/>
                <w:color w:val="000000"/>
                <w:kern w:val="0"/>
                <w:sz w:val="18"/>
                <w:szCs w:val="18"/>
              </w:rPr>
            </w:pPr>
            <w:r>
              <w:rPr>
                <w:rFonts w:hint="eastAsia" w:ascii="宋体" w:cs="宋体"/>
                <w:color w:val="000000"/>
                <w:kern w:val="0"/>
                <w:sz w:val="18"/>
                <w:szCs w:val="18"/>
              </w:rPr>
              <w:t>1.卫生技术人员</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10</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900" w:firstLineChars="500"/>
              <w:rPr>
                <w:rFonts w:hint="default" w:ascii="宋体" w:cs="宋体"/>
                <w:color w:val="000000"/>
                <w:kern w:val="0"/>
                <w:sz w:val="18"/>
                <w:szCs w:val="18"/>
              </w:rPr>
            </w:pPr>
            <w:r>
              <w:rPr>
                <w:rFonts w:hint="eastAsia" w:ascii="汉仪书宋二S" w:eastAsia="汉仪书宋二S" w:cs="汉仪书宋二S"/>
                <w:color w:val="000000"/>
                <w:kern w:val="0"/>
                <w:sz w:val="18"/>
                <w:szCs w:val="18"/>
              </w:rPr>
              <w:t>①</w:t>
            </w:r>
            <w:r>
              <w:rPr>
                <w:rFonts w:hint="eastAsia" w:ascii="宋体" w:cs="宋体"/>
                <w:color w:val="000000"/>
                <w:kern w:val="0"/>
                <w:sz w:val="18"/>
                <w:szCs w:val="18"/>
              </w:rPr>
              <w:t>执业（助理）医师</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11</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900" w:firstLineChars="500"/>
              <w:rPr>
                <w:rFonts w:hint="default" w:ascii="宋体" w:cs="宋体"/>
                <w:color w:val="000000"/>
                <w:kern w:val="0"/>
                <w:sz w:val="18"/>
                <w:szCs w:val="18"/>
              </w:rPr>
            </w:pPr>
            <w:r>
              <w:rPr>
                <w:rFonts w:hint="eastAsia" w:ascii="汉仪书宋二S" w:eastAsia="汉仪书宋二S" w:cs="汉仪书宋二S"/>
                <w:color w:val="000000"/>
                <w:kern w:val="0"/>
                <w:sz w:val="18"/>
                <w:szCs w:val="18"/>
              </w:rPr>
              <w:t>②</w:t>
            </w:r>
            <w:r>
              <w:rPr>
                <w:rFonts w:hint="eastAsia" w:ascii="宋体" w:cs="宋体"/>
                <w:color w:val="000000"/>
                <w:kern w:val="0"/>
                <w:sz w:val="18"/>
                <w:szCs w:val="18"/>
              </w:rPr>
              <w:t>注册护士</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12</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900" w:firstLineChars="500"/>
              <w:rPr>
                <w:rFonts w:hint="default" w:ascii="宋体" w:cs="宋体"/>
                <w:color w:val="000000"/>
                <w:kern w:val="0"/>
                <w:sz w:val="18"/>
                <w:szCs w:val="18"/>
              </w:rPr>
            </w:pPr>
            <w:r>
              <w:rPr>
                <w:rFonts w:hint="eastAsia" w:ascii="汉仪书宋二S" w:eastAsia="汉仪书宋二S" w:cs="汉仪书宋二S"/>
                <w:color w:val="000000"/>
                <w:kern w:val="0"/>
                <w:sz w:val="18"/>
                <w:szCs w:val="18"/>
              </w:rPr>
              <w:t>③</w:t>
            </w:r>
            <w:r>
              <w:rPr>
                <w:rFonts w:hint="eastAsia" w:ascii="宋体" w:cs="宋体"/>
                <w:color w:val="000000"/>
                <w:kern w:val="0"/>
                <w:sz w:val="18"/>
                <w:szCs w:val="18"/>
              </w:rPr>
              <w:t>药师（士）</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13</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900" w:firstLineChars="500"/>
              <w:rPr>
                <w:rFonts w:hint="default" w:ascii="宋体" w:cs="宋体"/>
                <w:color w:val="000000"/>
                <w:kern w:val="0"/>
                <w:sz w:val="18"/>
                <w:szCs w:val="18"/>
              </w:rPr>
            </w:pPr>
            <w:r>
              <w:rPr>
                <w:rFonts w:hint="eastAsia" w:ascii="汉仪书宋二S" w:eastAsia="汉仪书宋二S" w:cs="汉仪书宋二S"/>
                <w:color w:val="000000"/>
                <w:kern w:val="0"/>
                <w:sz w:val="18"/>
                <w:szCs w:val="18"/>
              </w:rPr>
              <w:t>④</w:t>
            </w:r>
            <w:r>
              <w:rPr>
                <w:rFonts w:hint="eastAsia" w:ascii="宋体" w:cs="宋体"/>
                <w:color w:val="000000"/>
                <w:kern w:val="0"/>
                <w:sz w:val="18"/>
                <w:szCs w:val="18"/>
              </w:rPr>
              <w:t>技师（士）</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14</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180" w:firstLineChars="100"/>
              <w:jc w:val="left"/>
              <w:rPr>
                <w:rFonts w:hint="default" w:ascii="宋体" w:cs="宋体"/>
                <w:color w:val="000000"/>
                <w:kern w:val="0"/>
                <w:sz w:val="18"/>
                <w:szCs w:val="18"/>
              </w:rPr>
            </w:pPr>
            <w:r>
              <w:rPr>
                <w:rFonts w:hint="eastAsia" w:ascii="宋体" w:cs="宋体"/>
                <w:color w:val="000000"/>
                <w:kern w:val="0"/>
                <w:sz w:val="18"/>
                <w:szCs w:val="18"/>
              </w:rPr>
              <w:t>2.其他技术人员</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15</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180" w:firstLineChars="100"/>
              <w:jc w:val="left"/>
              <w:rPr>
                <w:rFonts w:hint="default" w:ascii="宋体" w:cs="宋体"/>
                <w:color w:val="000000"/>
                <w:kern w:val="0"/>
                <w:sz w:val="18"/>
                <w:szCs w:val="18"/>
              </w:rPr>
            </w:pPr>
            <w:r>
              <w:rPr>
                <w:rFonts w:hint="eastAsia" w:ascii="宋体" w:cs="宋体"/>
                <w:color w:val="000000"/>
                <w:kern w:val="0"/>
                <w:sz w:val="18"/>
                <w:szCs w:val="18"/>
              </w:rPr>
              <w:t>3.经营管理人员</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16</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firstLine="180" w:firstLineChars="100"/>
              <w:jc w:val="left"/>
              <w:rPr>
                <w:rFonts w:hint="default" w:ascii="宋体" w:cs="宋体"/>
                <w:color w:val="000000"/>
                <w:kern w:val="0"/>
                <w:sz w:val="18"/>
                <w:szCs w:val="18"/>
              </w:rPr>
            </w:pPr>
            <w:r>
              <w:rPr>
                <w:rFonts w:hint="eastAsia" w:ascii="宋体" w:cs="宋体"/>
                <w:color w:val="000000"/>
                <w:kern w:val="0"/>
                <w:sz w:val="18"/>
                <w:szCs w:val="18"/>
              </w:rPr>
              <w:t>4.工勤技能人员</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17</w:t>
            </w:r>
          </w:p>
        </w:tc>
        <w:tc>
          <w:tcPr>
            <w:tcW w:w="70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386" w:hRule="exact"/>
          <w:jc w:val="center"/>
        </w:trPr>
        <w:tc>
          <w:tcPr>
            <w:tcW w:w="3153" w:type="dxa"/>
            <w:tcBorders>
              <w:top w:val="nil"/>
              <w:left w:val="nil"/>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kern w:val="0"/>
                <w:sz w:val="18"/>
                <w:szCs w:val="18"/>
              </w:rPr>
              <w:t>农民工：</w:t>
            </w:r>
          </w:p>
        </w:tc>
        <w:tc>
          <w:tcPr>
            <w:tcW w:w="709"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18</w:t>
            </w:r>
          </w:p>
        </w:tc>
        <w:tc>
          <w:tcPr>
            <w:tcW w:w="709"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523" w:type="dxa"/>
            <w:gridSpan w:val="2"/>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3"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c>
          <w:tcPr>
            <w:tcW w:w="1524" w:type="dxa"/>
            <w:tcBorders>
              <w:top w:val="nil"/>
              <w:left w:val="single" w:color="auto" w:sz="4" w:space="0"/>
              <w:bottom w:val="single" w:color="auto" w:sz="12" w:space="0"/>
              <w:right w:val="nil"/>
            </w:tcBorders>
            <w:vAlign w:val="center"/>
          </w:tcPr>
          <w:p>
            <w:pPr>
              <w:keepNext w:val="0"/>
              <w:keepLines w:val="0"/>
              <w:widowControl/>
              <w:suppressLineNumbers w:val="0"/>
              <w:spacing w:before="0" w:beforeAutospacing="0" w:after="0" w:afterAutospacing="0"/>
              <w:ind w:left="210" w:leftChars="100" w:right="0"/>
              <w:jc w:val="center"/>
              <w:rPr>
                <w:rFonts w:hint="default" w:ascii="宋体" w:cs="宋体"/>
                <w:color w:val="000000"/>
                <w:kern w:val="0"/>
                <w:sz w:val="18"/>
                <w:szCs w:val="18"/>
              </w:rPr>
            </w:pPr>
          </w:p>
        </w:tc>
      </w:tr>
    </w:tbl>
    <w:p>
      <w:pPr>
        <w:keepNext/>
        <w:keepLines/>
        <w:spacing w:line="600" w:lineRule="exact"/>
        <w:ind w:firstLine="540" w:firstLineChars="300"/>
        <w:outlineLvl w:val="1"/>
        <w:rPr>
          <w:rFonts w:hint="eastAsia" w:ascii="宋体" w:hAnsi="宋体" w:cs="宋体"/>
          <w:color w:val="000000"/>
          <w:kern w:val="0"/>
          <w:sz w:val="18"/>
          <w:szCs w:val="18"/>
          <w:lang w:bidi="ar"/>
        </w:rPr>
      </w:pPr>
      <w:bookmarkStart w:id="15" w:name="_Toc2605"/>
      <w:bookmarkStart w:id="16" w:name="_Toc6992"/>
      <w:r>
        <w:rPr>
          <w:rFonts w:hint="eastAsia" w:ascii="宋体" w:cs="宋体"/>
          <w:color w:val="000000"/>
          <w:kern w:val="0"/>
          <w:sz w:val="18"/>
          <w:szCs w:val="18"/>
        </w:rPr>
        <w:t xml:space="preserve">统计负责人：   　　　填表人：     　   联系电话：        </w:t>
      </w:r>
      <w:r>
        <w:rPr>
          <w:rFonts w:hint="eastAsia" w:ascii="宋体" w:hAnsi="宋体" w:cs="宋体"/>
          <w:color w:val="000000"/>
          <w:kern w:val="0"/>
          <w:sz w:val="18"/>
          <w:szCs w:val="18"/>
          <w:lang w:bidi="ar"/>
        </w:rPr>
        <w:t>报出日期：202  年   月  日</w:t>
      </w:r>
      <w:bookmarkEnd w:id="15"/>
      <w:bookmarkEnd w:id="16"/>
    </w:p>
    <w:p>
      <w:pPr>
        <w:widowControl/>
        <w:ind w:firstLine="540" w:firstLineChars="300"/>
        <w:jc w:val="left"/>
        <w:rPr>
          <w:rFonts w:ascii="宋体" w:cs="宋体"/>
          <w:color w:val="000000"/>
          <w:kern w:val="0"/>
          <w:sz w:val="18"/>
          <w:szCs w:val="18"/>
        </w:rPr>
      </w:pPr>
      <w:r>
        <w:rPr>
          <w:rFonts w:hint="eastAsia" w:ascii="宋体" w:cs="宋体"/>
          <w:color w:val="000000"/>
          <w:kern w:val="0"/>
          <w:sz w:val="18"/>
          <w:szCs w:val="18"/>
        </w:rPr>
        <w:t>说明：1.</w:t>
      </w:r>
      <w:r>
        <w:rPr>
          <w:rFonts w:hint="eastAsia" w:ascii="宋体" w:cs="宋体"/>
          <w:color w:val="000000"/>
          <w:kern w:val="0"/>
          <w:sz w:val="18"/>
          <w:szCs w:val="18"/>
          <w:lang w:val="en-US" w:eastAsia="zh-CN"/>
        </w:rPr>
        <w:t>统计范围</w:t>
      </w:r>
      <w:r>
        <w:rPr>
          <w:rFonts w:hint="eastAsia" w:ascii="宋体" w:cs="宋体"/>
          <w:color w:val="000000"/>
          <w:kern w:val="0"/>
          <w:sz w:val="18"/>
          <w:szCs w:val="18"/>
        </w:rPr>
        <w:t>：本表由园区全部法人单位填报。</w:t>
      </w:r>
    </w:p>
    <w:p>
      <w:pPr>
        <w:widowControl/>
        <w:ind w:firstLine="1080" w:firstLineChars="600"/>
        <w:jc w:val="left"/>
        <w:rPr>
          <w:rFonts w:ascii="宋体" w:cs="宋体"/>
          <w:color w:val="000000"/>
          <w:kern w:val="0"/>
          <w:sz w:val="18"/>
          <w:szCs w:val="18"/>
        </w:rPr>
      </w:pPr>
      <w:r>
        <w:rPr>
          <w:rFonts w:hint="eastAsia" w:ascii="宋体" w:cs="宋体"/>
          <w:color w:val="000000"/>
          <w:kern w:val="0"/>
          <w:sz w:val="18"/>
          <w:szCs w:val="18"/>
        </w:rPr>
        <w:t>2.对于拥有两种及以上技能技术职称及高职低聘、低职高聘的专业技术人员，按就高原则填报。</w:t>
      </w:r>
    </w:p>
    <w:p>
      <w:pPr>
        <w:widowControl/>
        <w:ind w:firstLine="1080" w:firstLineChars="600"/>
        <w:jc w:val="left"/>
        <w:rPr>
          <w:rFonts w:ascii="宋体" w:cs="宋体"/>
          <w:color w:val="000000"/>
          <w:kern w:val="0"/>
          <w:sz w:val="18"/>
          <w:szCs w:val="18"/>
        </w:rPr>
      </w:pPr>
      <w:r>
        <w:rPr>
          <w:rFonts w:hint="eastAsia" w:ascii="宋体" w:cs="宋体"/>
          <w:color w:val="000000"/>
          <w:kern w:val="0"/>
          <w:sz w:val="18"/>
          <w:szCs w:val="18"/>
        </w:rPr>
        <w:t>3.逻辑关系：01=10+15+16+17；10=11+12+13+14。</w:t>
      </w:r>
    </w:p>
    <w:p>
      <w:pPr>
        <w:widowControl/>
        <w:numPr>
          <w:ilvl w:val="255"/>
          <w:numId w:val="0"/>
        </w:numPr>
        <w:ind w:firstLine="1080" w:firstLineChars="600"/>
        <w:jc w:val="left"/>
        <w:rPr>
          <w:rFonts w:hint="eastAsia" w:ascii="宋体" w:cs="宋体"/>
          <w:kern w:val="0"/>
          <w:sz w:val="18"/>
          <w:szCs w:val="18"/>
        </w:rPr>
      </w:pPr>
      <w:r>
        <w:rPr>
          <w:rFonts w:hint="eastAsia" w:ascii="宋体" w:cs="宋体"/>
          <w:kern w:val="0"/>
          <w:sz w:val="18"/>
          <w:szCs w:val="18"/>
        </w:rPr>
        <w:t>4.本表期末从业人员数不包含农民工（单列）。</w:t>
      </w:r>
    </w:p>
    <w:p>
      <w:pPr>
        <w:widowControl/>
        <w:numPr>
          <w:ilvl w:val="255"/>
          <w:numId w:val="0"/>
        </w:numPr>
        <w:ind w:firstLine="1080" w:firstLineChars="600"/>
        <w:jc w:val="left"/>
        <w:rPr>
          <w:rFonts w:hint="default" w:ascii="宋体" w:eastAsia="宋体" w:cs="宋体"/>
          <w:kern w:val="0"/>
          <w:sz w:val="18"/>
          <w:szCs w:val="18"/>
          <w:lang w:val="en-US" w:eastAsia="zh-CN"/>
        </w:rPr>
      </w:pPr>
      <w:r>
        <w:rPr>
          <w:rFonts w:hint="eastAsia" w:ascii="宋体" w:cs="宋体"/>
          <w:kern w:val="0"/>
          <w:sz w:val="18"/>
          <w:szCs w:val="18"/>
          <w:lang w:val="en-US" w:eastAsia="zh-CN"/>
        </w:rPr>
        <w:t>5.统计时间：</w:t>
      </w:r>
      <w:r>
        <w:rPr>
          <w:rFonts w:hint="eastAsia" w:ascii="宋体"/>
          <w:sz w:val="18"/>
          <w:szCs w:val="18"/>
          <w:lang w:val="en-US" w:eastAsia="zh-CN"/>
        </w:rPr>
        <w:t>季后</w:t>
      </w:r>
      <w:r>
        <w:rPr>
          <w:rFonts w:hint="eastAsia" w:ascii="宋体"/>
          <w:sz w:val="18"/>
          <w:szCs w:val="18"/>
        </w:rPr>
        <w:t>1日0时</w:t>
      </w:r>
      <w:r>
        <w:rPr>
          <w:rFonts w:hint="eastAsia" w:ascii="宋体"/>
          <w:sz w:val="18"/>
          <w:szCs w:val="18"/>
          <w:lang w:val="en-US" w:eastAsia="zh-CN"/>
        </w:rPr>
        <w:t>-季后20</w:t>
      </w:r>
      <w:r>
        <w:rPr>
          <w:rFonts w:hint="eastAsia" w:ascii="宋体"/>
          <w:sz w:val="18"/>
          <w:szCs w:val="18"/>
        </w:rPr>
        <w:t>日12时</w:t>
      </w:r>
    </w:p>
    <w:p>
      <w:pPr>
        <w:pStyle w:val="2"/>
        <w:spacing w:before="0" w:after="0" w:line="416" w:lineRule="auto"/>
        <w:jc w:val="center"/>
        <w:rPr>
          <w:rFonts w:ascii="宋体"/>
          <w:b w:val="0"/>
          <w:color w:val="000000"/>
        </w:rPr>
      </w:pPr>
      <w:r>
        <w:rPr>
          <w:rFonts w:hint="eastAsia" w:ascii="宋体"/>
          <w:color w:val="000000"/>
          <w:sz w:val="18"/>
          <w:szCs w:val="18"/>
        </w:rPr>
        <w:br w:type="page"/>
      </w:r>
      <w:bookmarkStart w:id="17" w:name="_Toc90459436"/>
      <w:r>
        <w:rPr>
          <w:rFonts w:hint="eastAsia" w:ascii="宋体"/>
          <w:color w:val="000000"/>
          <w:sz w:val="18"/>
          <w:szCs w:val="18"/>
        </w:rPr>
        <w:t xml:space="preserve"> </w:t>
      </w:r>
      <w:bookmarkStart w:id="18" w:name="_Toc12248"/>
      <w:bookmarkStart w:id="19" w:name="_Toc1807"/>
      <w:r>
        <w:rPr>
          <w:rFonts w:hint="eastAsia" w:ascii="宋体"/>
          <w:b w:val="0"/>
          <w:color w:val="000000"/>
        </w:rPr>
        <w:t>（三）企业人员学历情况</w:t>
      </w:r>
      <w:bookmarkEnd w:id="17"/>
      <w:bookmarkEnd w:id="18"/>
      <w:bookmarkEnd w:id="19"/>
    </w:p>
    <w:tbl>
      <w:tblPr>
        <w:tblStyle w:val="11"/>
        <w:tblW w:w="9141" w:type="dxa"/>
        <w:jc w:val="center"/>
        <w:tblLayout w:type="fixed"/>
        <w:tblCellMar>
          <w:top w:w="0" w:type="dxa"/>
          <w:left w:w="108" w:type="dxa"/>
          <w:bottom w:w="0" w:type="dxa"/>
          <w:right w:w="108" w:type="dxa"/>
        </w:tblCellMar>
      </w:tblPr>
      <w:tblGrid>
        <w:gridCol w:w="1452"/>
        <w:gridCol w:w="579"/>
        <w:gridCol w:w="839"/>
        <w:gridCol w:w="1045"/>
        <w:gridCol w:w="1045"/>
        <w:gridCol w:w="875"/>
        <w:gridCol w:w="170"/>
        <w:gridCol w:w="1045"/>
        <w:gridCol w:w="1045"/>
        <w:gridCol w:w="1046"/>
      </w:tblGrid>
      <w:tr>
        <w:tblPrEx>
          <w:tblCellMar>
            <w:top w:w="0" w:type="dxa"/>
            <w:left w:w="108" w:type="dxa"/>
            <w:bottom w:w="0" w:type="dxa"/>
            <w:right w:w="108" w:type="dxa"/>
          </w:tblCellMar>
        </w:tblPrEx>
        <w:trPr>
          <w:trHeight w:val="516" w:hRule="exact"/>
          <w:jc w:val="center"/>
        </w:trPr>
        <w:tc>
          <w:tcPr>
            <w:tcW w:w="5835" w:type="dxa"/>
            <w:gridSpan w:val="6"/>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06" w:type="dxa"/>
            <w:gridSpan w:val="4"/>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宋体" w:cs="宋体"/>
                <w:color w:val="000000"/>
                <w:kern w:val="0"/>
                <w:sz w:val="18"/>
                <w:szCs w:val="18"/>
              </w:rPr>
            </w:pPr>
            <w:r>
              <w:rPr>
                <w:rFonts w:hint="eastAsia" w:ascii="宋体" w:cs="宋体"/>
                <w:color w:val="000000"/>
                <w:kern w:val="0"/>
                <w:sz w:val="18"/>
                <w:szCs w:val="18"/>
              </w:rPr>
              <w:t xml:space="preserve">表    号： </w:t>
            </w:r>
            <w:r>
              <w:rPr>
                <w:rFonts w:hint="eastAsia" w:ascii="宋体"/>
                <w:color w:val="000000"/>
                <w:sz w:val="18"/>
                <w:szCs w:val="18"/>
              </w:rPr>
              <w:t>HLC企03表</w:t>
            </w:r>
          </w:p>
        </w:tc>
      </w:tr>
      <w:tr>
        <w:tblPrEx>
          <w:tblCellMar>
            <w:top w:w="0" w:type="dxa"/>
            <w:left w:w="108" w:type="dxa"/>
            <w:bottom w:w="0" w:type="dxa"/>
            <w:right w:w="108" w:type="dxa"/>
          </w:tblCellMar>
        </w:tblPrEx>
        <w:trPr>
          <w:trHeight w:val="696" w:hRule="exact"/>
          <w:jc w:val="center"/>
        </w:trPr>
        <w:tc>
          <w:tcPr>
            <w:tcW w:w="5835" w:type="dxa"/>
            <w:gridSpan w:val="6"/>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06" w:type="dxa"/>
            <w:gridSpan w:val="4"/>
            <w:tcBorders>
              <w:top w:val="nil"/>
              <w:left w:val="nil"/>
              <w:bottom w:val="nil"/>
              <w:right w:val="nil"/>
            </w:tcBorders>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exact"/>
              <w:ind w:left="0" w:right="0"/>
              <w:jc w:val="left"/>
              <w:textAlignment w:val="baseline"/>
              <w:rPr>
                <w:rFonts w:hint="eastAsia" w:ascii="宋体" w:hAnsi="Arial" w:eastAsia="Arial" w:cs="宋体"/>
                <w:color w:val="auto"/>
                <w:kern w:val="0"/>
                <w:sz w:val="18"/>
                <w:szCs w:val="18"/>
              </w:rPr>
            </w:pPr>
            <w:r>
              <w:rPr>
                <w:rFonts w:hint="default" w:ascii="Arial" w:hAnsi="Arial" w:cs="Arial"/>
                <w:snapToGrid/>
                <w:color w:val="auto"/>
                <w:kern w:val="0"/>
                <w:sz w:val="18"/>
                <w:szCs w:val="18"/>
                <w:lang w:val="en-US" w:eastAsia="zh-CN" w:bidi="ar"/>
              </w:rPr>
              <w:t>制定机关：博鳌乐城国际医疗旅游</w:t>
            </w:r>
          </w:p>
          <w:p>
            <w:pPr>
              <w:keepNext w:val="0"/>
              <w:keepLines w:val="0"/>
              <w:suppressLineNumbers w:val="0"/>
              <w:spacing w:before="0" w:beforeAutospacing="0" w:after="0" w:afterAutospacing="0" w:line="360" w:lineRule="auto"/>
              <w:ind w:left="0" w:right="0" w:firstLine="900" w:firstLineChars="500"/>
              <w:jc w:val="left"/>
              <w:rPr>
                <w:rFonts w:hint="default" w:ascii="宋体" w:cs="宋体"/>
                <w:color w:val="000000"/>
                <w:kern w:val="0"/>
                <w:sz w:val="18"/>
                <w:szCs w:val="18"/>
              </w:rPr>
            </w:pPr>
            <w:r>
              <w:rPr>
                <w:rFonts w:hint="default" w:ascii="Arial" w:hAnsi="Arial" w:cs="Arial"/>
                <w:snapToGrid/>
                <w:color w:val="auto"/>
                <w:kern w:val="0"/>
                <w:sz w:val="18"/>
                <w:szCs w:val="18"/>
                <w:lang w:val="en-US" w:eastAsia="zh-CN" w:bidi="ar"/>
              </w:rPr>
              <w:t>先行区管理局</w:t>
            </w:r>
          </w:p>
        </w:tc>
      </w:tr>
      <w:tr>
        <w:tblPrEx>
          <w:tblCellMar>
            <w:top w:w="0" w:type="dxa"/>
            <w:left w:w="108" w:type="dxa"/>
            <w:bottom w:w="0" w:type="dxa"/>
            <w:right w:w="108" w:type="dxa"/>
          </w:tblCellMar>
        </w:tblPrEx>
        <w:trPr>
          <w:trHeight w:val="516" w:hRule="exact"/>
          <w:jc w:val="center"/>
        </w:trPr>
        <w:tc>
          <w:tcPr>
            <w:tcW w:w="5835" w:type="dxa"/>
            <w:gridSpan w:val="6"/>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24"/>
              </w:rPr>
            </w:pPr>
            <w:r>
              <w:rPr>
                <w:rFonts w:hint="eastAsia" w:ascii="宋体" w:cs="宋体"/>
                <w:color w:val="000000"/>
                <w:kern w:val="0"/>
                <w:sz w:val="18"/>
                <w:szCs w:val="18"/>
              </w:rPr>
              <w:t>统一社会信用代码：</w:t>
            </w:r>
          </w:p>
          <w:p>
            <w:pPr>
              <w:keepNext w:val="0"/>
              <w:keepLines w:val="0"/>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06" w:type="dxa"/>
            <w:gridSpan w:val="4"/>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批准机关：</w:t>
            </w:r>
          </w:p>
        </w:tc>
      </w:tr>
      <w:tr>
        <w:tblPrEx>
          <w:tblCellMar>
            <w:top w:w="0" w:type="dxa"/>
            <w:left w:w="108" w:type="dxa"/>
            <w:bottom w:w="0" w:type="dxa"/>
            <w:right w:w="108" w:type="dxa"/>
          </w:tblCellMar>
        </w:tblPrEx>
        <w:trPr>
          <w:trHeight w:val="516" w:hRule="exact"/>
          <w:jc w:val="center"/>
        </w:trPr>
        <w:tc>
          <w:tcPr>
            <w:tcW w:w="5835" w:type="dxa"/>
            <w:gridSpan w:val="6"/>
            <w:tcBorders>
              <w:top w:val="nil"/>
              <w:left w:val="nil"/>
              <w:bottom w:val="nil"/>
              <w:right w:val="nil"/>
            </w:tcBorders>
            <w:vAlign w:val="center"/>
          </w:tcPr>
          <w:p>
            <w:pPr>
              <w:keepNext w:val="0"/>
              <w:keepLines w:val="0"/>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3306" w:type="dxa"/>
            <w:gridSpan w:val="4"/>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批准文号：</w:t>
            </w:r>
          </w:p>
        </w:tc>
      </w:tr>
      <w:tr>
        <w:tblPrEx>
          <w:tblCellMar>
            <w:top w:w="0" w:type="dxa"/>
            <w:left w:w="108" w:type="dxa"/>
            <w:bottom w:w="0" w:type="dxa"/>
            <w:right w:w="108" w:type="dxa"/>
          </w:tblCellMar>
        </w:tblPrEx>
        <w:trPr>
          <w:trHeight w:val="516" w:hRule="exact"/>
          <w:jc w:val="center"/>
        </w:trPr>
        <w:tc>
          <w:tcPr>
            <w:tcW w:w="5835" w:type="dxa"/>
            <w:gridSpan w:val="6"/>
            <w:tcBorders>
              <w:top w:val="nil"/>
              <w:left w:val="nil"/>
              <w:bottom w:val="nil"/>
              <w:right w:val="nil"/>
            </w:tcBorders>
            <w:vAlign w:val="center"/>
          </w:tcPr>
          <w:p>
            <w:pPr>
              <w:keepNext w:val="0"/>
              <w:keepLines w:val="0"/>
              <w:suppressLineNumbers w:val="0"/>
              <w:spacing w:before="0" w:beforeAutospacing="0" w:after="0" w:afterAutospacing="0" w:line="480" w:lineRule="auto"/>
              <w:ind w:left="0" w:right="0"/>
              <w:jc w:val="left"/>
              <w:rPr>
                <w:rFonts w:hint="default" w:ascii="宋体" w:cs="宋体"/>
                <w:color w:val="000000"/>
                <w:kern w:val="0"/>
                <w:sz w:val="18"/>
                <w:szCs w:val="18"/>
              </w:rPr>
            </w:pPr>
            <w:r>
              <w:rPr>
                <w:rFonts w:hint="eastAsia" w:ascii="宋体" w:cs="宋体"/>
                <w:color w:val="000000"/>
                <w:kern w:val="0"/>
                <w:sz w:val="18"/>
                <w:szCs w:val="18"/>
              </w:rPr>
              <w:t xml:space="preserve">单位详细名称：                                </w:t>
            </w:r>
            <w:r>
              <w:rPr>
                <w:rFonts w:hint="eastAsia" w:ascii="宋体"/>
                <w:color w:val="000000"/>
                <w:sz w:val="18"/>
                <w:szCs w:val="18"/>
              </w:rPr>
              <w:t>　</w:t>
            </w:r>
            <w:r>
              <w:rPr>
                <w:rFonts w:hint="eastAsia" w:ascii="宋体" w:cs="宋体"/>
                <w:color w:val="000000"/>
                <w:sz w:val="18"/>
                <w:szCs w:val="18"/>
              </w:rPr>
              <w:t>　</w:t>
            </w:r>
          </w:p>
        </w:tc>
        <w:tc>
          <w:tcPr>
            <w:tcW w:w="3306" w:type="dxa"/>
            <w:gridSpan w:val="4"/>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有效期至：</w:t>
            </w:r>
          </w:p>
        </w:tc>
      </w:tr>
      <w:tr>
        <w:tblPrEx>
          <w:tblCellMar>
            <w:top w:w="0" w:type="dxa"/>
            <w:left w:w="108" w:type="dxa"/>
            <w:bottom w:w="0" w:type="dxa"/>
            <w:right w:w="108" w:type="dxa"/>
          </w:tblCellMar>
        </w:tblPrEx>
        <w:trPr>
          <w:trHeight w:val="721" w:hRule="exact"/>
          <w:jc w:val="center"/>
        </w:trPr>
        <w:tc>
          <w:tcPr>
            <w:tcW w:w="9141" w:type="dxa"/>
            <w:gridSpan w:val="10"/>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kern w:val="0"/>
                <w:sz w:val="18"/>
                <w:szCs w:val="18"/>
                <w:lang w:eastAsia="zh-CN"/>
              </w:rPr>
            </w:pPr>
            <w:r>
              <w:rPr>
                <w:rFonts w:hint="eastAsia" w:ascii="宋体" w:hAnsi="宋体" w:cs="宋体"/>
                <w:color w:val="000000"/>
                <w:kern w:val="0"/>
                <w:sz w:val="22"/>
                <w:szCs w:val="22"/>
                <w:lang w:bidi="ar"/>
              </w:rPr>
              <w:t xml:space="preserve">    202  年      </w:t>
            </w:r>
            <w:r>
              <w:rPr>
                <w:rFonts w:hint="eastAsia" w:ascii="宋体" w:hAnsi="宋体" w:cs="宋体"/>
                <w:color w:val="000000"/>
                <w:kern w:val="0"/>
                <w:sz w:val="22"/>
                <w:szCs w:val="22"/>
                <w:lang w:val="en-US" w:eastAsia="zh-CN" w:bidi="ar"/>
              </w:rPr>
              <w:t>半年</w:t>
            </w:r>
          </w:p>
        </w:tc>
      </w:tr>
      <w:tr>
        <w:tblPrEx>
          <w:tblCellMar>
            <w:top w:w="0" w:type="dxa"/>
            <w:left w:w="108" w:type="dxa"/>
            <w:bottom w:w="0" w:type="dxa"/>
            <w:right w:w="108" w:type="dxa"/>
          </w:tblCellMar>
        </w:tblPrEx>
        <w:trPr>
          <w:trHeight w:val="736" w:hRule="exact"/>
          <w:jc w:val="center"/>
        </w:trPr>
        <w:tc>
          <w:tcPr>
            <w:tcW w:w="1452" w:type="dxa"/>
            <w:tcBorders>
              <w:top w:val="single" w:color="auto" w:sz="12"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指标名称</w:t>
            </w:r>
          </w:p>
        </w:tc>
        <w:tc>
          <w:tcPr>
            <w:tcW w:w="579" w:type="dxa"/>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代码</w:t>
            </w:r>
          </w:p>
        </w:tc>
        <w:tc>
          <w:tcPr>
            <w:tcW w:w="839" w:type="dxa"/>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单位</w:t>
            </w:r>
          </w:p>
        </w:tc>
        <w:tc>
          <w:tcPr>
            <w:tcW w:w="1045" w:type="dxa"/>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35岁</w:t>
            </w:r>
          </w:p>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及以下</w:t>
            </w:r>
          </w:p>
        </w:tc>
        <w:tc>
          <w:tcPr>
            <w:tcW w:w="1045" w:type="dxa"/>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36-40岁</w:t>
            </w:r>
          </w:p>
        </w:tc>
        <w:tc>
          <w:tcPr>
            <w:tcW w:w="1045" w:type="dxa"/>
            <w:gridSpan w:val="2"/>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41-45岁</w:t>
            </w:r>
          </w:p>
        </w:tc>
        <w:tc>
          <w:tcPr>
            <w:tcW w:w="1045" w:type="dxa"/>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46-50岁</w:t>
            </w:r>
          </w:p>
        </w:tc>
        <w:tc>
          <w:tcPr>
            <w:tcW w:w="1045" w:type="dxa"/>
            <w:tcBorders>
              <w:top w:val="single" w:color="auto" w:sz="12"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51-54岁</w:t>
            </w:r>
          </w:p>
        </w:tc>
        <w:tc>
          <w:tcPr>
            <w:tcW w:w="1046" w:type="dxa"/>
            <w:tcBorders>
              <w:top w:val="single" w:color="auto" w:sz="12" w:space="0"/>
              <w:left w:val="single" w:color="auto" w:sz="4" w:space="0"/>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55岁</w:t>
            </w:r>
          </w:p>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及以上</w:t>
            </w:r>
          </w:p>
        </w:tc>
      </w:tr>
      <w:tr>
        <w:tblPrEx>
          <w:tblCellMar>
            <w:top w:w="0" w:type="dxa"/>
            <w:left w:w="108" w:type="dxa"/>
            <w:bottom w:w="0" w:type="dxa"/>
            <w:right w:w="108" w:type="dxa"/>
          </w:tblCellMar>
        </w:tblPrEx>
        <w:trPr>
          <w:trHeight w:val="516" w:hRule="exact"/>
          <w:jc w:val="center"/>
        </w:trPr>
        <w:tc>
          <w:tcPr>
            <w:tcW w:w="14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甲</w:t>
            </w:r>
          </w:p>
        </w:tc>
        <w:tc>
          <w:tcPr>
            <w:tcW w:w="57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乙</w:t>
            </w:r>
          </w:p>
        </w:tc>
        <w:tc>
          <w:tcPr>
            <w:tcW w:w="83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丙</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2</w:t>
            </w:r>
          </w:p>
        </w:tc>
        <w:tc>
          <w:tcPr>
            <w:tcW w:w="10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3</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4</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5</w:t>
            </w:r>
          </w:p>
        </w:tc>
        <w:tc>
          <w:tcPr>
            <w:tcW w:w="1046" w:type="dxa"/>
            <w:tcBorders>
              <w:top w:val="single" w:color="auto" w:sz="4" w:space="0"/>
              <w:left w:val="single" w:color="auto" w:sz="4" w:space="0"/>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6</w:t>
            </w:r>
          </w:p>
        </w:tc>
      </w:tr>
      <w:tr>
        <w:tblPrEx>
          <w:tblCellMar>
            <w:top w:w="0" w:type="dxa"/>
            <w:left w:w="108" w:type="dxa"/>
            <w:bottom w:w="0" w:type="dxa"/>
            <w:right w:w="108" w:type="dxa"/>
          </w:tblCellMar>
        </w:tblPrEx>
        <w:trPr>
          <w:trHeight w:val="516" w:hRule="exact"/>
          <w:jc w:val="center"/>
        </w:trPr>
        <w:tc>
          <w:tcPr>
            <w:tcW w:w="1452" w:type="dxa"/>
            <w:tcBorders>
              <w:top w:val="single" w:color="auto" w:sz="4" w:space="0"/>
              <w:left w:val="nil"/>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博士</w:t>
            </w:r>
          </w:p>
        </w:tc>
        <w:tc>
          <w:tcPr>
            <w:tcW w:w="579" w:type="dxa"/>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01</w:t>
            </w:r>
          </w:p>
        </w:tc>
        <w:tc>
          <w:tcPr>
            <w:tcW w:w="839" w:type="dxa"/>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045" w:type="dxa"/>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gridSpan w:val="2"/>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6" w:type="dxa"/>
            <w:tcBorders>
              <w:top w:val="single" w:color="auto" w:sz="4" w:space="0"/>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516" w:hRule="exact"/>
          <w:jc w:val="center"/>
        </w:trPr>
        <w:tc>
          <w:tcPr>
            <w:tcW w:w="1452"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硕士</w:t>
            </w:r>
          </w:p>
        </w:tc>
        <w:tc>
          <w:tcPr>
            <w:tcW w:w="57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02</w:t>
            </w:r>
          </w:p>
        </w:tc>
        <w:tc>
          <w:tcPr>
            <w:tcW w:w="83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6"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516" w:hRule="exact"/>
          <w:jc w:val="center"/>
        </w:trPr>
        <w:tc>
          <w:tcPr>
            <w:tcW w:w="1452"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本科</w:t>
            </w:r>
          </w:p>
        </w:tc>
        <w:tc>
          <w:tcPr>
            <w:tcW w:w="57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03</w:t>
            </w:r>
          </w:p>
        </w:tc>
        <w:tc>
          <w:tcPr>
            <w:tcW w:w="83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6"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516" w:hRule="exact"/>
          <w:jc w:val="center"/>
        </w:trPr>
        <w:tc>
          <w:tcPr>
            <w:tcW w:w="1452" w:type="dxa"/>
            <w:tcBorders>
              <w:top w:val="nil"/>
              <w:left w:val="nil"/>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大专</w:t>
            </w:r>
          </w:p>
        </w:tc>
        <w:tc>
          <w:tcPr>
            <w:tcW w:w="57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04</w:t>
            </w:r>
          </w:p>
        </w:tc>
        <w:tc>
          <w:tcPr>
            <w:tcW w:w="839"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gridSpan w:val="2"/>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6" w:type="dxa"/>
            <w:tcBorders>
              <w:top w:val="nil"/>
              <w:left w:val="single" w:color="auto" w:sz="4" w:space="0"/>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r>
        <w:tblPrEx>
          <w:tblCellMar>
            <w:top w:w="0" w:type="dxa"/>
            <w:left w:w="108" w:type="dxa"/>
            <w:bottom w:w="0" w:type="dxa"/>
            <w:right w:w="108" w:type="dxa"/>
          </w:tblCellMar>
        </w:tblPrEx>
        <w:trPr>
          <w:trHeight w:val="516" w:hRule="exact"/>
          <w:jc w:val="center"/>
        </w:trPr>
        <w:tc>
          <w:tcPr>
            <w:tcW w:w="1452" w:type="dxa"/>
            <w:tcBorders>
              <w:top w:val="nil"/>
              <w:left w:val="nil"/>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中专及以下</w:t>
            </w:r>
          </w:p>
        </w:tc>
        <w:tc>
          <w:tcPr>
            <w:tcW w:w="579"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05</w:t>
            </w:r>
          </w:p>
        </w:tc>
        <w:tc>
          <w:tcPr>
            <w:tcW w:w="839"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人</w:t>
            </w:r>
          </w:p>
        </w:tc>
        <w:tc>
          <w:tcPr>
            <w:tcW w:w="1045"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gridSpan w:val="2"/>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5" w:type="dxa"/>
            <w:tcBorders>
              <w:top w:val="nil"/>
              <w:left w:val="single" w:color="auto" w:sz="4" w:space="0"/>
              <w:bottom w:val="single" w:color="auto" w:sz="12"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c>
          <w:tcPr>
            <w:tcW w:w="1046" w:type="dxa"/>
            <w:tcBorders>
              <w:top w:val="nil"/>
              <w:left w:val="single" w:color="auto" w:sz="4" w:space="0"/>
              <w:bottom w:val="single" w:color="auto" w:sz="12" w:space="0"/>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p>
        </w:tc>
      </w:tr>
    </w:tbl>
    <w:p>
      <w:pPr>
        <w:widowControl/>
        <w:ind w:firstLine="360" w:firstLineChars="200"/>
        <w:jc w:val="left"/>
        <w:rPr>
          <w:rFonts w:ascii="宋体" w:cs="宋体"/>
          <w:color w:val="000000"/>
          <w:kern w:val="0"/>
          <w:sz w:val="18"/>
          <w:szCs w:val="18"/>
        </w:rPr>
      </w:pPr>
      <w:r>
        <w:rPr>
          <w:rFonts w:hint="eastAsia" w:ascii="宋体" w:cs="宋体"/>
          <w:color w:val="000000"/>
          <w:kern w:val="0"/>
          <w:sz w:val="18"/>
          <w:szCs w:val="18"/>
        </w:rPr>
        <w:t>统计负责人：       　　　填表人：    　         联系电话：                报出日期：２０　年　月　日</w:t>
      </w:r>
    </w:p>
    <w:p>
      <w:pPr>
        <w:widowControl/>
        <w:ind w:firstLine="360" w:firstLineChars="200"/>
        <w:jc w:val="left"/>
        <w:rPr>
          <w:rFonts w:ascii="宋体" w:cs="宋体"/>
          <w:color w:val="000000"/>
          <w:kern w:val="0"/>
          <w:sz w:val="18"/>
          <w:szCs w:val="18"/>
        </w:rPr>
      </w:pPr>
    </w:p>
    <w:p>
      <w:pPr>
        <w:widowControl/>
        <w:spacing w:line="400" w:lineRule="exact"/>
        <w:ind w:firstLine="540" w:firstLineChars="300"/>
        <w:jc w:val="left"/>
        <w:rPr>
          <w:rFonts w:hint="eastAsia" w:ascii="宋体" w:cs="宋体"/>
          <w:color w:val="000000"/>
          <w:kern w:val="0"/>
          <w:sz w:val="18"/>
          <w:szCs w:val="18"/>
        </w:rPr>
      </w:pPr>
      <w:r>
        <w:rPr>
          <w:rFonts w:hint="eastAsia" w:ascii="宋体" w:cs="宋体"/>
          <w:color w:val="000000"/>
          <w:kern w:val="0"/>
          <w:sz w:val="18"/>
          <w:szCs w:val="18"/>
        </w:rPr>
        <w:t>说明：</w:t>
      </w:r>
      <w:r>
        <w:rPr>
          <w:rFonts w:hint="eastAsia" w:ascii="宋体" w:cs="宋体"/>
          <w:color w:val="000000"/>
          <w:kern w:val="0"/>
          <w:sz w:val="18"/>
          <w:szCs w:val="18"/>
          <w:lang w:val="en-US" w:eastAsia="zh-CN"/>
        </w:rPr>
        <w:t>1.统计范围</w:t>
      </w:r>
      <w:r>
        <w:rPr>
          <w:rFonts w:hint="eastAsia" w:ascii="宋体" w:cs="宋体"/>
          <w:color w:val="000000"/>
          <w:kern w:val="0"/>
          <w:sz w:val="18"/>
          <w:szCs w:val="18"/>
        </w:rPr>
        <w:t>：本表由园区所有法人单位填报。</w:t>
      </w:r>
    </w:p>
    <w:p>
      <w:pPr>
        <w:widowControl/>
        <w:spacing w:line="400" w:lineRule="exact"/>
        <w:ind w:firstLine="540" w:firstLineChars="300"/>
        <w:jc w:val="left"/>
        <w:rPr>
          <w:rFonts w:hint="default" w:ascii="宋体" w:eastAsia="宋体" w:cs="宋体"/>
          <w:color w:val="000000"/>
          <w:kern w:val="0"/>
          <w:sz w:val="18"/>
          <w:szCs w:val="18"/>
          <w:lang w:val="en-US" w:eastAsia="zh-CN"/>
        </w:rPr>
      </w:pPr>
      <w:r>
        <w:rPr>
          <w:rFonts w:hint="eastAsia" w:ascii="宋体" w:cs="宋体"/>
          <w:color w:val="000000"/>
          <w:kern w:val="0"/>
          <w:sz w:val="18"/>
          <w:szCs w:val="18"/>
          <w:lang w:val="en-US" w:eastAsia="zh-CN"/>
        </w:rPr>
        <w:t xml:space="preserve">      2.统计时间：1月1日0时至1月20日12时、7月1日0时至7月2</w:t>
      </w:r>
      <w:bookmarkStart w:id="24" w:name="_GoBack"/>
      <w:bookmarkEnd w:id="24"/>
      <w:r>
        <w:rPr>
          <w:rFonts w:hint="eastAsia" w:ascii="宋体" w:cs="宋体"/>
          <w:color w:val="000000"/>
          <w:kern w:val="0"/>
          <w:sz w:val="18"/>
          <w:szCs w:val="18"/>
          <w:lang w:val="en-US" w:eastAsia="zh-CN"/>
        </w:rPr>
        <w:t>0日12时</w:t>
      </w: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3"/>
        <w:ind w:firstLine="0"/>
      </w:pPr>
    </w:p>
    <w:p>
      <w:pPr>
        <w:pStyle w:val="2"/>
        <w:spacing w:line="600" w:lineRule="exact"/>
        <w:jc w:val="center"/>
        <w:rPr>
          <w:rFonts w:ascii="宋体"/>
          <w:b w:val="0"/>
          <w:color w:val="000000"/>
        </w:rPr>
      </w:pPr>
      <w:bookmarkStart w:id="20" w:name="_Toc4255"/>
      <w:bookmarkStart w:id="21" w:name="_Toc26592"/>
      <w:r>
        <w:rPr>
          <w:rFonts w:hint="eastAsia" w:ascii="宋体"/>
          <w:b w:val="0"/>
          <w:color w:val="000000"/>
        </w:rPr>
        <w:t>（四）企业经营情况表</w:t>
      </w:r>
      <w:bookmarkEnd w:id="20"/>
      <w:bookmarkEnd w:id="21"/>
    </w:p>
    <w:tbl>
      <w:tblPr>
        <w:tblStyle w:val="11"/>
        <w:tblW w:w="9314" w:type="dxa"/>
        <w:jc w:val="center"/>
        <w:tblLayout w:type="fixed"/>
        <w:tblCellMar>
          <w:top w:w="0" w:type="dxa"/>
          <w:left w:w="108" w:type="dxa"/>
          <w:bottom w:w="0" w:type="dxa"/>
          <w:right w:w="108" w:type="dxa"/>
        </w:tblCellMar>
      </w:tblPr>
      <w:tblGrid>
        <w:gridCol w:w="2648"/>
        <w:gridCol w:w="596"/>
        <w:gridCol w:w="1108"/>
        <w:gridCol w:w="1654"/>
        <w:gridCol w:w="399"/>
        <w:gridCol w:w="1255"/>
        <w:gridCol w:w="1654"/>
      </w:tblGrid>
      <w:tr>
        <w:tblPrEx>
          <w:tblCellMar>
            <w:top w:w="0" w:type="dxa"/>
            <w:left w:w="108" w:type="dxa"/>
            <w:bottom w:w="0" w:type="dxa"/>
            <w:right w:w="108" w:type="dxa"/>
          </w:tblCellMar>
        </w:tblPrEx>
        <w:trPr>
          <w:trHeight w:val="507" w:hRule="exact"/>
          <w:jc w:val="center"/>
        </w:trPr>
        <w:tc>
          <w:tcPr>
            <w:tcW w:w="6405" w:type="dxa"/>
            <w:gridSpan w:val="5"/>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2909" w:type="dxa"/>
            <w:gridSpan w:val="2"/>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宋体" w:cs="宋体"/>
                <w:color w:val="000000"/>
                <w:kern w:val="0"/>
                <w:sz w:val="18"/>
                <w:szCs w:val="18"/>
              </w:rPr>
            </w:pPr>
            <w:r>
              <w:rPr>
                <w:rFonts w:hint="eastAsia" w:ascii="宋体" w:cs="宋体"/>
                <w:color w:val="000000"/>
                <w:kern w:val="0"/>
                <w:sz w:val="18"/>
                <w:szCs w:val="18"/>
              </w:rPr>
              <w:t>表    号：</w:t>
            </w:r>
            <w:r>
              <w:rPr>
                <w:rFonts w:hint="eastAsia" w:ascii="宋体"/>
                <w:color w:val="000000"/>
                <w:sz w:val="18"/>
                <w:szCs w:val="18"/>
              </w:rPr>
              <w:t>HLC企04表</w:t>
            </w:r>
            <w:r>
              <w:rPr>
                <w:rFonts w:hint="eastAsia" w:ascii="宋体" w:cs="宋体"/>
                <w:color w:val="000000"/>
                <w:kern w:val="0"/>
                <w:sz w:val="18"/>
                <w:szCs w:val="18"/>
              </w:rPr>
              <w:t xml:space="preserve"> </w:t>
            </w:r>
          </w:p>
        </w:tc>
      </w:tr>
      <w:tr>
        <w:tblPrEx>
          <w:tblCellMar>
            <w:top w:w="0" w:type="dxa"/>
            <w:left w:w="108" w:type="dxa"/>
            <w:bottom w:w="0" w:type="dxa"/>
            <w:right w:w="108" w:type="dxa"/>
          </w:tblCellMar>
        </w:tblPrEx>
        <w:trPr>
          <w:trHeight w:val="927" w:hRule="exact"/>
          <w:jc w:val="center"/>
        </w:trPr>
        <w:tc>
          <w:tcPr>
            <w:tcW w:w="6405" w:type="dxa"/>
            <w:gridSpan w:val="5"/>
            <w:tcBorders>
              <w:top w:val="nil"/>
              <w:left w:val="nil"/>
              <w:bottom w:val="nil"/>
              <w:right w:val="nil"/>
            </w:tcBorders>
            <w:vAlign w:val="center"/>
          </w:tcPr>
          <w:p>
            <w:pPr>
              <w:keepNext w:val="0"/>
              <w:keepLines w:val="0"/>
              <w:widowControl/>
              <w:suppressLineNumbers w:val="0"/>
              <w:spacing w:before="0" w:beforeAutospacing="0" w:after="0" w:afterAutospacing="0" w:line="460" w:lineRule="exact"/>
              <w:ind w:left="0" w:right="0"/>
              <w:jc w:val="left"/>
              <w:rPr>
                <w:rFonts w:hint="default" w:ascii="宋体" w:cs="宋体"/>
                <w:color w:val="000000"/>
                <w:kern w:val="0"/>
                <w:sz w:val="18"/>
                <w:szCs w:val="18"/>
              </w:rPr>
            </w:pPr>
          </w:p>
        </w:tc>
        <w:tc>
          <w:tcPr>
            <w:tcW w:w="2909" w:type="dxa"/>
            <w:gridSpan w:val="2"/>
            <w:tcBorders>
              <w:top w:val="nil"/>
              <w:left w:val="nil"/>
              <w:bottom w:val="nil"/>
              <w:right w:val="nil"/>
            </w:tcBorders>
            <w:vAlign w:val="center"/>
          </w:tcPr>
          <w:p>
            <w:pPr>
              <w:keepNext w:val="0"/>
              <w:keepLines w:val="0"/>
              <w:suppressLineNumbers w:val="0"/>
              <w:spacing w:before="0" w:beforeAutospacing="0" w:after="0" w:afterAutospacing="0" w:line="460" w:lineRule="exact"/>
              <w:ind w:left="0" w:right="0"/>
              <w:jc w:val="left"/>
              <w:rPr>
                <w:rFonts w:hint="default" w:ascii="宋体" w:cs="宋体"/>
                <w:color w:val="000000"/>
                <w:kern w:val="0"/>
                <w:sz w:val="18"/>
                <w:szCs w:val="18"/>
              </w:rPr>
            </w:pPr>
            <w:r>
              <w:rPr>
                <w:rFonts w:hint="eastAsia" w:ascii="宋体" w:cs="宋体"/>
                <w:color w:val="000000"/>
                <w:kern w:val="0"/>
                <w:sz w:val="18"/>
                <w:szCs w:val="18"/>
              </w:rPr>
              <w:t>制定机关：博鳌乐城国际医疗旅游</w:t>
            </w:r>
          </w:p>
          <w:p>
            <w:pPr>
              <w:keepNext w:val="0"/>
              <w:keepLines w:val="0"/>
              <w:suppressLineNumbers w:val="0"/>
              <w:spacing w:before="0" w:beforeAutospacing="0" w:after="0" w:afterAutospacing="0" w:line="460" w:lineRule="exact"/>
              <w:ind w:left="0" w:right="0" w:firstLine="900" w:firstLineChars="500"/>
              <w:jc w:val="left"/>
              <w:rPr>
                <w:rFonts w:hint="default" w:ascii="宋体" w:cs="宋体"/>
                <w:color w:val="000000"/>
                <w:kern w:val="0"/>
                <w:sz w:val="18"/>
                <w:szCs w:val="18"/>
              </w:rPr>
            </w:pPr>
            <w:r>
              <w:rPr>
                <w:rFonts w:hint="eastAsia" w:ascii="宋体" w:cs="宋体"/>
                <w:color w:val="000000"/>
                <w:kern w:val="0"/>
                <w:sz w:val="18"/>
                <w:szCs w:val="18"/>
              </w:rPr>
              <w:t>先行区管理局</w:t>
            </w:r>
          </w:p>
        </w:tc>
      </w:tr>
      <w:tr>
        <w:tblPrEx>
          <w:tblCellMar>
            <w:top w:w="0" w:type="dxa"/>
            <w:left w:w="108" w:type="dxa"/>
            <w:bottom w:w="0" w:type="dxa"/>
            <w:right w:w="108" w:type="dxa"/>
          </w:tblCellMar>
        </w:tblPrEx>
        <w:trPr>
          <w:trHeight w:val="507" w:hRule="exact"/>
          <w:jc w:val="center"/>
        </w:trPr>
        <w:tc>
          <w:tcPr>
            <w:tcW w:w="6405" w:type="dxa"/>
            <w:gridSpan w:val="5"/>
            <w:tcBorders>
              <w:top w:val="nil"/>
              <w:left w:val="nil"/>
              <w:bottom w:val="nil"/>
              <w:right w:val="nil"/>
            </w:tcBorders>
            <w:vAlign w:val="center"/>
          </w:tcPr>
          <w:p>
            <w:pPr>
              <w:keepNext w:val="0"/>
              <w:keepLines w:val="0"/>
              <w:widowControl/>
              <w:suppressLineNumbers w:val="0"/>
              <w:spacing w:before="0" w:beforeAutospacing="0" w:after="0" w:afterAutospacing="0" w:line="480" w:lineRule="auto"/>
              <w:ind w:left="0" w:right="0"/>
              <w:jc w:val="left"/>
              <w:rPr>
                <w:rFonts w:hint="default" w:ascii="宋体" w:cs="宋体"/>
                <w:color w:val="000000"/>
                <w:kern w:val="0"/>
                <w:sz w:val="18"/>
                <w:szCs w:val="18"/>
              </w:rPr>
            </w:pPr>
            <w:r>
              <w:rPr>
                <w:rFonts w:hint="eastAsia" w:ascii="宋体" w:cs="宋体"/>
                <w:color w:val="000000"/>
                <w:kern w:val="0"/>
                <w:sz w:val="18"/>
                <w:szCs w:val="18"/>
              </w:rPr>
              <w:t>统一社会信用代码：</w:t>
            </w:r>
          </w:p>
        </w:tc>
        <w:tc>
          <w:tcPr>
            <w:tcW w:w="2909" w:type="dxa"/>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批准机关：</w:t>
            </w:r>
          </w:p>
        </w:tc>
      </w:tr>
      <w:tr>
        <w:tblPrEx>
          <w:tblCellMar>
            <w:top w:w="0" w:type="dxa"/>
            <w:left w:w="108" w:type="dxa"/>
            <w:bottom w:w="0" w:type="dxa"/>
            <w:right w:w="108" w:type="dxa"/>
          </w:tblCellMar>
        </w:tblPrEx>
        <w:trPr>
          <w:trHeight w:val="507" w:hRule="exact"/>
          <w:jc w:val="center"/>
        </w:trPr>
        <w:tc>
          <w:tcPr>
            <w:tcW w:w="6405" w:type="dxa"/>
            <w:gridSpan w:val="5"/>
            <w:tcBorders>
              <w:top w:val="nil"/>
              <w:left w:val="nil"/>
              <w:bottom w:val="nil"/>
              <w:right w:val="nil"/>
            </w:tcBorders>
            <w:vAlign w:val="center"/>
          </w:tcPr>
          <w:p>
            <w:pPr>
              <w:keepNext w:val="0"/>
              <w:keepLines w:val="0"/>
              <w:suppressLineNumbers w:val="0"/>
              <w:spacing w:before="0" w:beforeAutospacing="0" w:after="0" w:afterAutospacing="0" w:line="480" w:lineRule="auto"/>
              <w:ind w:left="0" w:right="0"/>
              <w:jc w:val="left"/>
              <w:rPr>
                <w:rFonts w:hint="default" w:ascii="宋体" w:cs="宋体"/>
                <w:color w:val="000000"/>
                <w:kern w:val="0"/>
                <w:sz w:val="18"/>
                <w:szCs w:val="18"/>
              </w:rPr>
            </w:pPr>
          </w:p>
        </w:tc>
        <w:tc>
          <w:tcPr>
            <w:tcW w:w="2909" w:type="dxa"/>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 xml:space="preserve">批准文号： </w:t>
            </w:r>
          </w:p>
        </w:tc>
      </w:tr>
      <w:tr>
        <w:tblPrEx>
          <w:tblCellMar>
            <w:top w:w="0" w:type="dxa"/>
            <w:left w:w="108" w:type="dxa"/>
            <w:bottom w:w="0" w:type="dxa"/>
            <w:right w:w="108" w:type="dxa"/>
          </w:tblCellMar>
        </w:tblPrEx>
        <w:trPr>
          <w:trHeight w:val="507" w:hRule="exact"/>
          <w:jc w:val="center"/>
        </w:trPr>
        <w:tc>
          <w:tcPr>
            <w:tcW w:w="6405" w:type="dxa"/>
            <w:gridSpan w:val="5"/>
            <w:tcBorders>
              <w:top w:val="nil"/>
              <w:left w:val="nil"/>
              <w:bottom w:val="nil"/>
              <w:right w:val="nil"/>
            </w:tcBorders>
            <w:vAlign w:val="center"/>
          </w:tcPr>
          <w:p>
            <w:pPr>
              <w:keepNext w:val="0"/>
              <w:keepLines w:val="0"/>
              <w:suppressLineNumbers w:val="0"/>
              <w:spacing w:before="0" w:beforeAutospacing="0" w:after="0" w:afterAutospacing="0" w:line="480" w:lineRule="auto"/>
              <w:ind w:left="0" w:right="0"/>
              <w:rPr>
                <w:rFonts w:hint="default" w:ascii="宋体" w:cs="宋体"/>
                <w:color w:val="000000"/>
                <w:kern w:val="0"/>
                <w:sz w:val="18"/>
                <w:szCs w:val="18"/>
              </w:rPr>
            </w:pPr>
            <w:r>
              <w:rPr>
                <w:rFonts w:hint="eastAsia" w:ascii="宋体" w:cs="宋体"/>
                <w:color w:val="000000"/>
                <w:kern w:val="0"/>
                <w:sz w:val="18"/>
                <w:szCs w:val="18"/>
              </w:rPr>
              <w:t>单位详细名称：</w:t>
            </w:r>
          </w:p>
        </w:tc>
        <w:tc>
          <w:tcPr>
            <w:tcW w:w="2909" w:type="dxa"/>
            <w:gridSpan w:val="2"/>
            <w:tcBorders>
              <w:top w:val="nil"/>
              <w:left w:val="nil"/>
              <w:bottom w:val="nil"/>
              <w:right w:val="nil"/>
            </w:tcBorders>
            <w:vAlign w:val="center"/>
          </w:tcPr>
          <w:p>
            <w:pPr>
              <w:keepNext w:val="0"/>
              <w:keepLines w:val="0"/>
              <w:suppressLineNumbers w:val="0"/>
              <w:spacing w:before="0" w:beforeAutospacing="0" w:after="0" w:afterAutospacing="0"/>
              <w:ind w:left="0" w:right="0"/>
              <w:jc w:val="left"/>
              <w:rPr>
                <w:rFonts w:hint="default" w:ascii="宋体" w:cs="宋体"/>
                <w:color w:val="000000"/>
                <w:kern w:val="0"/>
                <w:sz w:val="18"/>
                <w:szCs w:val="18"/>
              </w:rPr>
            </w:pPr>
            <w:r>
              <w:rPr>
                <w:rFonts w:hint="eastAsia" w:ascii="宋体" w:cs="宋体"/>
                <w:color w:val="000000"/>
                <w:kern w:val="0"/>
                <w:sz w:val="18"/>
                <w:szCs w:val="18"/>
              </w:rPr>
              <w:t>有效期至：</w:t>
            </w:r>
          </w:p>
        </w:tc>
      </w:tr>
      <w:tr>
        <w:tblPrEx>
          <w:tblCellMar>
            <w:top w:w="0" w:type="dxa"/>
            <w:left w:w="108" w:type="dxa"/>
            <w:bottom w:w="0" w:type="dxa"/>
            <w:right w:w="108" w:type="dxa"/>
          </w:tblCellMar>
        </w:tblPrEx>
        <w:trPr>
          <w:trHeight w:val="667" w:hRule="exact"/>
          <w:jc w:val="center"/>
        </w:trPr>
        <w:tc>
          <w:tcPr>
            <w:tcW w:w="9314" w:type="dxa"/>
            <w:gridSpan w:val="7"/>
            <w:tcBorders>
              <w:top w:val="nil"/>
              <w:left w:val="nil"/>
              <w:bottom w:val="single" w:color="auto" w:sz="12" w:space="0"/>
              <w:right w:val="nil"/>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18"/>
                <w:szCs w:val="18"/>
              </w:rPr>
            </w:pPr>
            <w:r>
              <w:rPr>
                <w:rFonts w:hint="eastAsia" w:ascii="宋体" w:hAnsi="宋体" w:cs="宋体"/>
                <w:color w:val="000000"/>
                <w:kern w:val="0"/>
                <w:sz w:val="22"/>
                <w:szCs w:val="22"/>
                <w:lang w:bidi="ar"/>
              </w:rPr>
              <w:t>202  年     月</w:t>
            </w:r>
          </w:p>
        </w:tc>
      </w:tr>
      <w:tr>
        <w:tblPrEx>
          <w:tblCellMar>
            <w:top w:w="0" w:type="dxa"/>
            <w:left w:w="108" w:type="dxa"/>
            <w:bottom w:w="0" w:type="dxa"/>
            <w:right w:w="108" w:type="dxa"/>
          </w:tblCellMar>
        </w:tblPrEx>
        <w:trPr>
          <w:trHeight w:val="509" w:hRule="atLeast"/>
          <w:jc w:val="center"/>
        </w:trPr>
        <w:tc>
          <w:tcPr>
            <w:tcW w:w="2648" w:type="dxa"/>
            <w:tcBorders>
              <w:top w:val="single" w:color="auto" w:sz="12"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指标名称</w:t>
            </w:r>
          </w:p>
        </w:tc>
        <w:tc>
          <w:tcPr>
            <w:tcW w:w="596" w:type="dxa"/>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代码</w:t>
            </w:r>
          </w:p>
        </w:tc>
        <w:tc>
          <w:tcPr>
            <w:tcW w:w="1108" w:type="dxa"/>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单位</w:t>
            </w:r>
          </w:p>
        </w:tc>
        <w:tc>
          <w:tcPr>
            <w:tcW w:w="1654" w:type="dxa"/>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本期</w:t>
            </w:r>
          </w:p>
        </w:tc>
        <w:tc>
          <w:tcPr>
            <w:tcW w:w="1654" w:type="dxa"/>
            <w:gridSpan w:val="2"/>
            <w:tcBorders>
              <w:top w:val="single" w:color="auto" w:sz="12" w:space="0"/>
              <w:left w:val="single" w:color="auto" w:sz="8" w:space="0"/>
              <w:bottom w:val="single" w:color="auto" w:sz="8" w:space="0"/>
              <w:right w:val="single" w:color="auto" w:sz="8" w:space="0"/>
            </w:tcBorders>
            <w:vAlign w:val="center"/>
          </w:tcPr>
          <w:p>
            <w:pPr>
              <w:keepNext w:val="0"/>
              <w:keepLines w:val="0"/>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1-本期</w:t>
            </w:r>
          </w:p>
        </w:tc>
        <w:tc>
          <w:tcPr>
            <w:tcW w:w="1654" w:type="dxa"/>
            <w:tcBorders>
              <w:top w:val="single" w:color="auto" w:sz="12" w:space="0"/>
              <w:left w:val="single" w:color="auto" w:sz="8" w:space="0"/>
              <w:bottom w:val="single" w:color="auto" w:sz="8" w:space="0"/>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上年同期</w:t>
            </w:r>
          </w:p>
        </w:tc>
      </w:tr>
      <w:tr>
        <w:tblPrEx>
          <w:tblCellMar>
            <w:top w:w="0" w:type="dxa"/>
            <w:left w:w="108" w:type="dxa"/>
            <w:bottom w:w="0" w:type="dxa"/>
            <w:right w:w="108" w:type="dxa"/>
          </w:tblCellMar>
        </w:tblPrEx>
        <w:trPr>
          <w:trHeight w:val="509" w:hRule="atLeast"/>
          <w:jc w:val="center"/>
        </w:trPr>
        <w:tc>
          <w:tcPr>
            <w:tcW w:w="2648" w:type="dxa"/>
            <w:tcBorders>
              <w:top w:val="single" w:color="auto" w:sz="8" w:space="0"/>
              <w:left w:val="nil"/>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甲</w:t>
            </w:r>
          </w:p>
        </w:tc>
        <w:tc>
          <w:tcPr>
            <w:tcW w:w="596"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乙</w:t>
            </w:r>
          </w:p>
        </w:tc>
        <w:tc>
          <w:tcPr>
            <w:tcW w:w="1108"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丙</w:t>
            </w:r>
          </w:p>
        </w:tc>
        <w:tc>
          <w:tcPr>
            <w:tcW w:w="1654"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1</w:t>
            </w:r>
          </w:p>
        </w:tc>
        <w:tc>
          <w:tcPr>
            <w:tcW w:w="1654"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2</w:t>
            </w:r>
          </w:p>
        </w:tc>
        <w:tc>
          <w:tcPr>
            <w:tcW w:w="1654" w:type="dxa"/>
            <w:tcBorders>
              <w:top w:val="single" w:color="auto" w:sz="8" w:space="0"/>
              <w:left w:val="single" w:color="auto" w:sz="8" w:space="0"/>
              <w:bottom w:val="single" w:color="auto" w:sz="8" w:space="0"/>
              <w:right w:val="nil"/>
            </w:tcBorders>
            <w:vAlign w:val="center"/>
          </w:tcPr>
          <w:p>
            <w:pPr>
              <w:keepNext w:val="0"/>
              <w:keepLines w:val="0"/>
              <w:widowControl/>
              <w:suppressLineNumbers w:val="0"/>
              <w:spacing w:before="0" w:beforeAutospacing="0" w:after="0" w:afterAutospacing="0"/>
              <w:ind w:left="0" w:right="0"/>
              <w:jc w:val="center"/>
              <w:rPr>
                <w:rFonts w:hint="default" w:ascii="宋体" w:cs="宋体"/>
                <w:color w:val="000000"/>
                <w:kern w:val="0"/>
                <w:sz w:val="18"/>
                <w:szCs w:val="18"/>
              </w:rPr>
            </w:pPr>
            <w:r>
              <w:rPr>
                <w:rFonts w:hint="eastAsia" w:ascii="宋体" w:cs="宋体"/>
                <w:color w:val="000000"/>
                <w:kern w:val="0"/>
                <w:sz w:val="18"/>
                <w:szCs w:val="18"/>
              </w:rPr>
              <w:t>3</w:t>
            </w:r>
          </w:p>
        </w:tc>
      </w:tr>
      <w:tr>
        <w:tblPrEx>
          <w:tblCellMar>
            <w:top w:w="0" w:type="dxa"/>
            <w:left w:w="108" w:type="dxa"/>
            <w:bottom w:w="0" w:type="dxa"/>
            <w:right w:w="108" w:type="dxa"/>
          </w:tblCellMar>
        </w:tblPrEx>
        <w:trPr>
          <w:trHeight w:val="482" w:hRule="atLeast"/>
          <w:jc w:val="center"/>
        </w:trPr>
        <w:tc>
          <w:tcPr>
            <w:tcW w:w="2648" w:type="dxa"/>
            <w:tcBorders>
              <w:top w:val="single" w:color="auto" w:sz="8" w:space="0"/>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r>
              <w:rPr>
                <w:rFonts w:hint="eastAsia" w:ascii="宋体" w:cs="宋体"/>
                <w:color w:val="000000"/>
                <w:kern w:val="0"/>
                <w:sz w:val="18"/>
                <w:szCs w:val="18"/>
              </w:rPr>
              <w:t>资产总计</w:t>
            </w:r>
          </w:p>
        </w:tc>
        <w:tc>
          <w:tcPr>
            <w:tcW w:w="596" w:type="dxa"/>
            <w:tcBorders>
              <w:top w:val="single" w:color="auto" w:sz="8" w:space="0"/>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01</w:t>
            </w:r>
          </w:p>
        </w:tc>
        <w:tc>
          <w:tcPr>
            <w:tcW w:w="1108" w:type="dxa"/>
            <w:tcBorders>
              <w:top w:val="single" w:color="auto" w:sz="8" w:space="0"/>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color w:val="000000"/>
                <w:kern w:val="0"/>
                <w:sz w:val="18"/>
                <w:szCs w:val="18"/>
              </w:rPr>
            </w:pPr>
            <w:r>
              <w:rPr>
                <w:rFonts w:hint="eastAsia" w:ascii="宋体" w:cs="宋体"/>
                <w:sz w:val="18"/>
                <w:szCs w:val="18"/>
              </w:rPr>
              <w:t>万元</w:t>
            </w:r>
          </w:p>
        </w:tc>
        <w:tc>
          <w:tcPr>
            <w:tcW w:w="1654" w:type="dxa"/>
            <w:tcBorders>
              <w:top w:val="single" w:color="auto" w:sz="8" w:space="0"/>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gridSpan w:val="2"/>
            <w:tcBorders>
              <w:top w:val="single" w:color="auto" w:sz="8" w:space="0"/>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tcBorders>
              <w:top w:val="single" w:color="auto" w:sz="8" w:space="0"/>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r>
              <w:rPr>
                <w:rFonts w:hint="eastAsia" w:ascii="宋体" w:cs="宋体"/>
                <w:color w:val="000000"/>
                <w:kern w:val="0"/>
                <w:sz w:val="18"/>
                <w:szCs w:val="18"/>
              </w:rPr>
              <w:t>营业收入</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02</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firstLine="360" w:firstLineChars="200"/>
              <w:jc w:val="left"/>
              <w:rPr>
                <w:rFonts w:hint="default" w:ascii="宋体" w:cs="宋体"/>
                <w:color w:val="000000"/>
                <w:kern w:val="0"/>
                <w:sz w:val="18"/>
                <w:szCs w:val="18"/>
              </w:rPr>
            </w:pPr>
            <w:r>
              <w:rPr>
                <w:rFonts w:hint="eastAsia" w:ascii="宋体" w:cs="宋体"/>
                <w:color w:val="000000"/>
                <w:kern w:val="0"/>
                <w:sz w:val="18"/>
                <w:szCs w:val="18"/>
              </w:rPr>
              <w:t>其中：药品收入</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03</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firstLine="900" w:firstLineChars="500"/>
              <w:jc w:val="left"/>
              <w:rPr>
                <w:rFonts w:hint="default" w:ascii="宋体" w:cs="宋体"/>
                <w:color w:val="000000"/>
                <w:kern w:val="0"/>
                <w:sz w:val="18"/>
                <w:szCs w:val="18"/>
              </w:rPr>
            </w:pPr>
            <w:r>
              <w:rPr>
                <w:rFonts w:hint="eastAsia" w:ascii="宋体" w:cs="宋体"/>
                <w:color w:val="000000"/>
                <w:kern w:val="0"/>
                <w:sz w:val="18"/>
                <w:szCs w:val="18"/>
              </w:rPr>
              <w:t>器械收入</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04</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firstLine="900" w:firstLineChars="500"/>
              <w:jc w:val="left"/>
              <w:rPr>
                <w:rFonts w:hint="default" w:ascii="宋体" w:cs="宋体"/>
                <w:color w:val="000000"/>
                <w:kern w:val="0"/>
                <w:sz w:val="18"/>
                <w:szCs w:val="18"/>
              </w:rPr>
            </w:pPr>
            <w:r>
              <w:rPr>
                <w:rFonts w:hint="eastAsia" w:ascii="宋体" w:cs="宋体"/>
                <w:color w:val="000000"/>
                <w:kern w:val="0"/>
                <w:sz w:val="18"/>
                <w:szCs w:val="18"/>
              </w:rPr>
              <w:t>其他增值服务收入</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05</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r>
              <w:rPr>
                <w:rFonts w:hint="eastAsia" w:ascii="宋体" w:cs="宋体"/>
                <w:color w:val="000000"/>
                <w:kern w:val="0"/>
                <w:sz w:val="18"/>
                <w:szCs w:val="18"/>
              </w:rPr>
              <w:t>营业成本</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06</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r>
              <w:rPr>
                <w:rFonts w:hint="eastAsia" w:ascii="宋体" w:cs="宋体"/>
                <w:color w:val="000000"/>
                <w:kern w:val="0"/>
                <w:sz w:val="18"/>
                <w:szCs w:val="18"/>
              </w:rPr>
              <w:t>利润总额</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07</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r>
              <w:rPr>
                <w:rFonts w:hint="eastAsia" w:ascii="宋体" w:cs="宋体"/>
                <w:color w:val="000000"/>
                <w:kern w:val="0"/>
                <w:sz w:val="18"/>
                <w:szCs w:val="18"/>
              </w:rPr>
              <w:t>纳税总额</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08</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firstLine="360" w:firstLineChars="200"/>
              <w:jc w:val="left"/>
              <w:rPr>
                <w:rFonts w:hint="default" w:ascii="宋体" w:cs="宋体"/>
                <w:color w:val="000000"/>
                <w:kern w:val="0"/>
                <w:sz w:val="18"/>
                <w:szCs w:val="18"/>
              </w:rPr>
            </w:pPr>
            <w:r>
              <w:rPr>
                <w:rFonts w:hint="eastAsia" w:ascii="宋体" w:cs="宋体"/>
                <w:color w:val="000000"/>
                <w:kern w:val="0"/>
                <w:sz w:val="18"/>
                <w:szCs w:val="18"/>
              </w:rPr>
              <w:t>其中：</w:t>
            </w:r>
            <w:r>
              <w:rPr>
                <w:rFonts w:hint="eastAsia" w:ascii="Arial" w:hAnsi="Arial" w:cs="Arial"/>
                <w:snapToGrid/>
                <w:color w:val="auto"/>
                <w:kern w:val="0"/>
                <w:sz w:val="18"/>
                <w:szCs w:val="18"/>
                <w:lang w:val="en-US" w:eastAsia="zh-CN" w:bidi="ar"/>
              </w:rPr>
              <w:t>应交</w:t>
            </w:r>
            <w:r>
              <w:rPr>
                <w:rFonts w:hint="default" w:ascii="Arial" w:hAnsi="Arial" w:cs="Arial"/>
                <w:snapToGrid/>
                <w:color w:val="auto"/>
                <w:kern w:val="0"/>
                <w:sz w:val="18"/>
                <w:szCs w:val="18"/>
                <w:lang w:val="en-US" w:eastAsia="zh-CN" w:bidi="ar"/>
              </w:rPr>
              <w:t>增值税</w:t>
            </w:r>
            <w:r>
              <w:rPr>
                <w:rFonts w:hint="default" w:ascii="宋体" w:hAnsi="宋体"/>
                <w:sz w:val="18"/>
                <w:szCs w:val="18"/>
                <w:lang w:val="en"/>
              </w:rPr>
              <w:t>(</w:t>
            </w:r>
            <w:r>
              <w:rPr>
                <w:rFonts w:hint="eastAsia" w:ascii="宋体" w:hAnsi="宋体"/>
                <w:sz w:val="18"/>
                <w:szCs w:val="18"/>
              </w:rPr>
              <w:t>本</w:t>
            </w:r>
            <w:r>
              <w:rPr>
                <w:rFonts w:hint="eastAsia" w:ascii="宋体" w:hAnsi="宋体"/>
                <w:sz w:val="18"/>
                <w:szCs w:val="18"/>
                <w:lang w:eastAsia="zh-CN"/>
              </w:rPr>
              <w:t>期</w:t>
            </w:r>
            <w:r>
              <w:rPr>
                <w:rFonts w:hint="eastAsia" w:ascii="宋体" w:hAnsi="宋体"/>
                <w:sz w:val="18"/>
                <w:szCs w:val="18"/>
              </w:rPr>
              <w:t>累计发生额</w:t>
            </w:r>
            <w:r>
              <w:rPr>
                <w:rFonts w:hint="default" w:ascii="宋体" w:hAnsi="宋体"/>
                <w:sz w:val="18"/>
                <w:szCs w:val="18"/>
                <w:lang w:val="en"/>
              </w:rPr>
              <w:t>)</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09</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nil"/>
              <w:right w:val="single" w:color="auto" w:sz="8" w:space="0"/>
            </w:tcBorders>
            <w:vAlign w:val="center"/>
          </w:tcPr>
          <w:p>
            <w:pPr>
              <w:keepNext w:val="0"/>
              <w:keepLines w:val="0"/>
              <w:widowControl/>
              <w:suppressLineNumbers w:val="0"/>
              <w:spacing w:before="0" w:beforeAutospacing="0" w:after="0" w:afterAutospacing="0" w:line="300" w:lineRule="exact"/>
              <w:ind w:left="0" w:right="0"/>
              <w:jc w:val="left"/>
              <w:rPr>
                <w:rFonts w:hint="default" w:ascii="宋体" w:cs="宋体"/>
                <w:color w:val="000000"/>
                <w:kern w:val="0"/>
                <w:sz w:val="18"/>
                <w:szCs w:val="18"/>
              </w:rPr>
            </w:pPr>
            <w:r>
              <w:rPr>
                <w:rFonts w:hint="eastAsia" w:ascii="宋体" w:cs="宋体"/>
                <w:color w:val="000000"/>
                <w:kern w:val="0"/>
                <w:sz w:val="18"/>
                <w:szCs w:val="18"/>
              </w:rPr>
              <w:t>应付职工薪酬</w:t>
            </w:r>
          </w:p>
          <w:p>
            <w:pPr>
              <w:keepNext w:val="0"/>
              <w:keepLines w:val="0"/>
              <w:widowControl/>
              <w:suppressLineNumbers w:val="0"/>
              <w:spacing w:before="0" w:beforeAutospacing="0" w:after="0" w:afterAutospacing="0" w:line="300" w:lineRule="exact"/>
              <w:ind w:left="0" w:right="0"/>
              <w:jc w:val="left"/>
              <w:rPr>
                <w:rFonts w:hint="default" w:ascii="宋体" w:cs="宋体"/>
                <w:color w:val="000000"/>
                <w:kern w:val="0"/>
                <w:sz w:val="18"/>
                <w:szCs w:val="18"/>
              </w:rPr>
            </w:pPr>
            <w:r>
              <w:rPr>
                <w:rFonts w:hint="eastAsia" w:ascii="宋体" w:cs="宋体"/>
                <w:color w:val="000000"/>
                <w:kern w:val="0"/>
                <w:sz w:val="18"/>
                <w:szCs w:val="18"/>
              </w:rPr>
              <w:t>（本期贷方累计发生额）</w:t>
            </w:r>
          </w:p>
        </w:tc>
        <w:tc>
          <w:tcPr>
            <w:tcW w:w="596"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10</w:t>
            </w:r>
          </w:p>
        </w:tc>
        <w:tc>
          <w:tcPr>
            <w:tcW w:w="1108"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gridSpan w:val="2"/>
            <w:tcBorders>
              <w:top w:val="nil"/>
              <w:left w:val="single" w:color="auto" w:sz="8" w:space="0"/>
              <w:bottom w:val="nil"/>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tcBorders>
              <w:top w:val="nil"/>
              <w:left w:val="single" w:color="auto" w:sz="8" w:space="0"/>
              <w:bottom w:val="nil"/>
              <w:right w:val="nil"/>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482" w:hRule="atLeast"/>
          <w:jc w:val="center"/>
        </w:trPr>
        <w:tc>
          <w:tcPr>
            <w:tcW w:w="2648" w:type="dxa"/>
            <w:tcBorders>
              <w:top w:val="nil"/>
              <w:left w:val="nil"/>
              <w:bottom w:val="single" w:color="auto" w:sz="12" w:space="0"/>
              <w:right w:val="single" w:color="auto" w:sz="8" w:space="0"/>
            </w:tcBorders>
            <w:vAlign w:val="center"/>
          </w:tcPr>
          <w:p>
            <w:pPr>
              <w:keepNext w:val="0"/>
              <w:keepLines w:val="0"/>
              <w:widowControl/>
              <w:suppressLineNumbers w:val="0"/>
              <w:spacing w:before="0" w:beforeAutospacing="0" w:after="0" w:afterAutospacing="0" w:line="440" w:lineRule="exact"/>
              <w:ind w:left="0" w:right="0"/>
              <w:jc w:val="left"/>
              <w:rPr>
                <w:rFonts w:hint="default" w:ascii="宋体" w:cs="宋体"/>
                <w:color w:val="000000"/>
                <w:kern w:val="0"/>
                <w:sz w:val="18"/>
                <w:szCs w:val="18"/>
              </w:rPr>
            </w:pPr>
            <w:r>
              <w:rPr>
                <w:rFonts w:hint="eastAsia" w:ascii="宋体" w:cs="宋体"/>
                <w:color w:val="000000"/>
                <w:kern w:val="0"/>
                <w:sz w:val="18"/>
                <w:szCs w:val="18"/>
              </w:rPr>
              <w:t>固定资产折旧</w:t>
            </w:r>
          </w:p>
        </w:tc>
        <w:tc>
          <w:tcPr>
            <w:tcW w:w="596" w:type="dxa"/>
            <w:tcBorders>
              <w:top w:val="nil"/>
              <w:left w:val="single" w:color="auto" w:sz="8" w:space="0"/>
              <w:bottom w:val="single" w:color="auto" w:sz="12" w:space="0"/>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11</w:t>
            </w:r>
          </w:p>
        </w:tc>
        <w:tc>
          <w:tcPr>
            <w:tcW w:w="1108" w:type="dxa"/>
            <w:tcBorders>
              <w:top w:val="nil"/>
              <w:left w:val="single" w:color="auto" w:sz="8" w:space="0"/>
              <w:bottom w:val="single" w:color="auto" w:sz="12" w:space="0"/>
              <w:right w:val="single" w:color="auto" w:sz="8" w:space="0"/>
            </w:tcBorders>
            <w:vAlign w:val="center"/>
          </w:tcPr>
          <w:p>
            <w:pPr>
              <w:keepNext w:val="0"/>
              <w:keepLines w:val="0"/>
              <w:widowControl/>
              <w:suppressLineNumbers w:val="0"/>
              <w:spacing w:before="0" w:beforeAutospacing="0" w:after="0" w:afterAutospacing="0" w:line="440" w:lineRule="exact"/>
              <w:ind w:left="0" w:right="0"/>
              <w:jc w:val="center"/>
              <w:rPr>
                <w:rFonts w:hint="default" w:ascii="宋体" w:cs="宋体"/>
                <w:sz w:val="18"/>
                <w:szCs w:val="18"/>
              </w:rPr>
            </w:pPr>
            <w:r>
              <w:rPr>
                <w:rFonts w:hint="eastAsia" w:ascii="宋体" w:cs="宋体"/>
                <w:sz w:val="18"/>
                <w:szCs w:val="18"/>
              </w:rPr>
              <w:t>万元</w:t>
            </w:r>
          </w:p>
        </w:tc>
        <w:tc>
          <w:tcPr>
            <w:tcW w:w="1654" w:type="dxa"/>
            <w:tcBorders>
              <w:top w:val="nil"/>
              <w:left w:val="single" w:color="auto" w:sz="8" w:space="0"/>
              <w:bottom w:val="single" w:color="auto" w:sz="12" w:space="0"/>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gridSpan w:val="2"/>
            <w:tcBorders>
              <w:top w:val="nil"/>
              <w:left w:val="single" w:color="auto" w:sz="8" w:space="0"/>
              <w:bottom w:val="single" w:color="auto" w:sz="12" w:space="0"/>
              <w:right w:val="single" w:color="auto" w:sz="8" w:space="0"/>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c>
          <w:tcPr>
            <w:tcW w:w="1654" w:type="dxa"/>
            <w:tcBorders>
              <w:top w:val="nil"/>
              <w:left w:val="single" w:color="auto" w:sz="8" w:space="0"/>
              <w:bottom w:val="single" w:color="auto" w:sz="12" w:space="0"/>
              <w:right w:val="nil"/>
            </w:tcBorders>
            <w:vAlign w:val="center"/>
          </w:tcPr>
          <w:p>
            <w:pPr>
              <w:keepNext w:val="0"/>
              <w:keepLines w:val="0"/>
              <w:widowControl/>
              <w:suppressLineNumbers w:val="0"/>
              <w:spacing w:before="0" w:beforeAutospacing="0" w:after="0" w:afterAutospacing="0" w:line="440" w:lineRule="exact"/>
              <w:ind w:left="210" w:leftChars="100" w:right="0"/>
              <w:jc w:val="left"/>
              <w:rPr>
                <w:rFonts w:hint="default" w:ascii="宋体" w:cs="宋体"/>
                <w:color w:val="000000"/>
                <w:kern w:val="0"/>
                <w:sz w:val="18"/>
                <w:szCs w:val="18"/>
              </w:rPr>
            </w:pPr>
          </w:p>
        </w:tc>
      </w:tr>
      <w:tr>
        <w:tblPrEx>
          <w:tblCellMar>
            <w:top w:w="0" w:type="dxa"/>
            <w:left w:w="108" w:type="dxa"/>
            <w:bottom w:w="0" w:type="dxa"/>
            <w:right w:w="108" w:type="dxa"/>
          </w:tblCellMar>
        </w:tblPrEx>
        <w:trPr>
          <w:trHeight w:val="369" w:hRule="atLeast"/>
          <w:jc w:val="center"/>
        </w:trPr>
        <w:tc>
          <w:tcPr>
            <w:tcW w:w="9314" w:type="dxa"/>
            <w:gridSpan w:val="7"/>
            <w:tcBorders>
              <w:top w:val="single" w:color="auto" w:sz="12" w:space="0"/>
              <w:left w:val="nil"/>
              <w:bottom w:val="nil"/>
              <w:right w:val="nil"/>
            </w:tcBorders>
            <w:vAlign w:val="center"/>
          </w:tcPr>
          <w:p>
            <w:pPr>
              <w:keepNext w:val="0"/>
              <w:keepLines w:val="0"/>
              <w:widowControl/>
              <w:suppressLineNumbers w:val="0"/>
              <w:spacing w:before="0" w:beforeAutospacing="0" w:after="0" w:afterAutospacing="0"/>
              <w:ind w:left="0" w:right="0"/>
              <w:rPr>
                <w:rFonts w:hint="default" w:ascii="宋体" w:cs="宋体"/>
                <w:sz w:val="18"/>
                <w:szCs w:val="18"/>
              </w:rPr>
            </w:pPr>
            <w:r>
              <w:rPr>
                <w:rFonts w:hint="eastAsia" w:ascii="宋体" w:cs="宋体"/>
                <w:sz w:val="18"/>
                <w:szCs w:val="18"/>
              </w:rPr>
              <w:t>补充资料：贵单位已获审批用地面积：</w:t>
            </w:r>
            <w:r>
              <w:rPr>
                <w:rFonts w:hint="eastAsia" w:ascii="宋体" w:cs="宋体"/>
                <w:sz w:val="18"/>
                <w:szCs w:val="18"/>
                <w:u w:val="single"/>
              </w:rPr>
              <w:t xml:space="preserve">             </w:t>
            </w:r>
            <w:r>
              <w:rPr>
                <w:rFonts w:hint="eastAsia" w:ascii="宋体" w:cs="宋体"/>
                <w:sz w:val="18"/>
                <w:szCs w:val="18"/>
              </w:rPr>
              <w:t>平方米</w:t>
            </w:r>
          </w:p>
          <w:p>
            <w:pPr>
              <w:keepNext w:val="0"/>
              <w:keepLines w:val="0"/>
              <w:widowControl/>
              <w:suppressLineNumbers w:val="0"/>
              <w:spacing w:before="0" w:beforeAutospacing="0" w:after="0" w:afterAutospacing="0"/>
              <w:ind w:left="0" w:right="0" w:firstLine="900" w:firstLineChars="500"/>
              <w:rPr>
                <w:rFonts w:hint="default" w:ascii="宋体" w:cs="宋体"/>
                <w:sz w:val="18"/>
                <w:szCs w:val="18"/>
              </w:rPr>
            </w:pPr>
            <w:r>
              <w:rPr>
                <w:rFonts w:hint="eastAsia" w:ascii="宋体" w:cs="宋体"/>
                <w:sz w:val="18"/>
                <w:szCs w:val="18"/>
              </w:rPr>
              <w:t>目前贵单位已开发利用的建筑面积：</w:t>
            </w:r>
            <w:r>
              <w:rPr>
                <w:rFonts w:hint="eastAsia" w:ascii="宋体" w:cs="宋体"/>
                <w:sz w:val="18"/>
                <w:szCs w:val="18"/>
                <w:u w:val="single"/>
              </w:rPr>
              <w:t xml:space="preserve">             </w:t>
            </w:r>
            <w:r>
              <w:rPr>
                <w:rFonts w:hint="eastAsia" w:ascii="宋体" w:cs="宋体"/>
                <w:sz w:val="18"/>
                <w:szCs w:val="18"/>
              </w:rPr>
              <w:t>平方米</w:t>
            </w:r>
          </w:p>
          <w:p>
            <w:pPr>
              <w:keepNext w:val="0"/>
              <w:keepLines w:val="0"/>
              <w:widowControl/>
              <w:suppressLineNumbers w:val="0"/>
              <w:spacing w:before="0" w:beforeAutospacing="0" w:after="0" w:afterAutospacing="0"/>
              <w:ind w:left="0" w:right="0"/>
              <w:rPr>
                <w:rFonts w:hint="default" w:ascii="宋体" w:cs="宋体"/>
                <w:sz w:val="18"/>
                <w:szCs w:val="18"/>
              </w:rPr>
            </w:pPr>
            <w:r>
              <w:rPr>
                <w:rFonts w:hint="eastAsia" w:ascii="宋体" w:cs="宋体"/>
                <w:sz w:val="18"/>
                <w:szCs w:val="18"/>
              </w:rPr>
              <w:t xml:space="preserve">统计负责人：   　　   　填表人：     　      联系电话：                   </w:t>
            </w:r>
          </w:p>
          <w:p>
            <w:pPr>
              <w:keepNext w:val="0"/>
              <w:keepLines w:val="0"/>
              <w:widowControl/>
              <w:suppressLineNumbers w:val="0"/>
              <w:spacing w:before="0" w:beforeAutospacing="0" w:after="0" w:afterAutospacing="0"/>
              <w:ind w:left="0" w:right="0"/>
              <w:rPr>
                <w:rFonts w:hint="default" w:ascii="宋体" w:eastAsia="宋体" w:cs="宋体"/>
                <w:sz w:val="18"/>
                <w:szCs w:val="18"/>
                <w:lang w:val="en-US" w:eastAsia="zh-CN"/>
              </w:rPr>
            </w:pPr>
            <w:r>
              <w:rPr>
                <w:rFonts w:hint="eastAsia" w:ascii="宋体" w:cs="宋体"/>
                <w:sz w:val="18"/>
                <w:szCs w:val="18"/>
                <w:lang w:val="en-US" w:eastAsia="zh-CN"/>
              </w:rPr>
              <w:t>统计范围：</w:t>
            </w:r>
            <w:r>
              <w:rPr>
                <w:rFonts w:hint="eastAsia" w:ascii="宋体" w:cs="宋体"/>
                <w:color w:val="000000"/>
                <w:kern w:val="0"/>
                <w:sz w:val="18"/>
                <w:szCs w:val="18"/>
              </w:rPr>
              <w:t>本表由园区所有法人单位填报。</w:t>
            </w:r>
          </w:p>
          <w:p>
            <w:pPr>
              <w:keepNext w:val="0"/>
              <w:keepLines w:val="0"/>
              <w:widowControl/>
              <w:suppressLineNumbers w:val="0"/>
              <w:spacing w:before="0" w:beforeAutospacing="0" w:after="0" w:afterAutospacing="0"/>
              <w:ind w:left="0" w:right="0"/>
              <w:rPr>
                <w:rFonts w:hint="eastAsia" w:ascii="宋体" w:cs="宋体"/>
                <w:sz w:val="18"/>
                <w:szCs w:val="18"/>
              </w:rPr>
            </w:pPr>
            <w:r>
              <w:rPr>
                <w:rFonts w:hint="eastAsia" w:ascii="宋体" w:cs="宋体"/>
                <w:sz w:val="18"/>
                <w:szCs w:val="18"/>
                <w:lang w:val="en-US" w:eastAsia="zh-CN"/>
              </w:rPr>
              <w:t>统计时间</w:t>
            </w:r>
            <w:r>
              <w:rPr>
                <w:rFonts w:hint="eastAsia" w:ascii="宋体" w:cs="宋体"/>
                <w:sz w:val="18"/>
                <w:szCs w:val="18"/>
              </w:rPr>
              <w:t>：</w:t>
            </w:r>
            <w:r>
              <w:rPr>
                <w:rFonts w:hint="eastAsia" w:ascii="宋体" w:cs="宋体"/>
                <w:color w:val="000000"/>
                <w:kern w:val="0"/>
                <w:sz w:val="18"/>
                <w:szCs w:val="18"/>
                <w:lang w:val="en-US" w:eastAsia="zh-CN"/>
              </w:rPr>
              <w:t>次月</w:t>
            </w:r>
            <w:r>
              <w:rPr>
                <w:rFonts w:hint="eastAsia" w:ascii="宋体"/>
                <w:sz w:val="18"/>
                <w:szCs w:val="18"/>
              </w:rPr>
              <w:t>1日0时</w:t>
            </w:r>
            <w:r>
              <w:rPr>
                <w:rFonts w:hint="eastAsia" w:ascii="宋体"/>
                <w:sz w:val="18"/>
                <w:szCs w:val="18"/>
                <w:lang w:val="en-US" w:eastAsia="zh-CN"/>
              </w:rPr>
              <w:t>-次月20</w:t>
            </w:r>
            <w:r>
              <w:rPr>
                <w:rFonts w:hint="eastAsia" w:ascii="宋体"/>
                <w:sz w:val="18"/>
                <w:szCs w:val="18"/>
              </w:rPr>
              <w:t>日12时</w:t>
            </w:r>
          </w:p>
          <w:p>
            <w:pPr>
              <w:keepNext w:val="0"/>
              <w:keepLines w:val="0"/>
              <w:widowControl/>
              <w:suppressLineNumbers w:val="0"/>
              <w:spacing w:before="0" w:beforeAutospacing="0" w:after="0" w:afterAutospacing="0"/>
              <w:ind w:left="0" w:right="0"/>
              <w:rPr>
                <w:rFonts w:hint="default" w:ascii="宋体" w:cs="宋体"/>
                <w:sz w:val="18"/>
                <w:szCs w:val="18"/>
              </w:rPr>
            </w:pPr>
            <w:r>
              <w:rPr>
                <w:rFonts w:hint="eastAsia" w:ascii="宋体" w:cs="宋体"/>
                <w:sz w:val="18"/>
                <w:szCs w:val="18"/>
              </w:rPr>
              <w:t>说明：由于资产总计、营业成本、利润总额、应交增值税（本期累计发生额）、应付职工薪酬（本期贷方累计发生额）指标与现行园区统计制度指标重复，已纳入园区统计的企业名录每季度末由</w:t>
            </w:r>
            <w:r>
              <w:rPr>
                <w:rFonts w:hint="eastAsia" w:ascii="宋体" w:cs="宋体"/>
                <w:sz w:val="18"/>
                <w:szCs w:val="18"/>
                <w:lang w:val="en-US" w:eastAsia="zh-CN"/>
              </w:rPr>
              <w:t>琼海市统计局</w:t>
            </w:r>
            <w:r>
              <w:rPr>
                <w:rFonts w:hint="eastAsia" w:ascii="宋体" w:cs="宋体"/>
                <w:sz w:val="18"/>
                <w:szCs w:val="18"/>
              </w:rPr>
              <w:t>反馈园区管理机构，由园区管理机构通知企业免于填报。免填报企业综合数据由</w:t>
            </w:r>
            <w:r>
              <w:rPr>
                <w:rFonts w:hint="eastAsia" w:ascii="宋体" w:cs="宋体"/>
                <w:sz w:val="18"/>
                <w:szCs w:val="18"/>
                <w:lang w:val="en-US" w:eastAsia="zh-CN"/>
              </w:rPr>
              <w:t>琼海市统计局</w:t>
            </w:r>
            <w:r>
              <w:rPr>
                <w:rFonts w:hint="eastAsia" w:ascii="宋体" w:cs="宋体"/>
                <w:sz w:val="18"/>
                <w:szCs w:val="18"/>
              </w:rPr>
              <w:t>反馈园区使用。</w:t>
            </w:r>
          </w:p>
        </w:tc>
      </w:tr>
    </w:tbl>
    <w:p>
      <w:pPr>
        <w:pStyle w:val="3"/>
        <w:ind w:firstLine="0"/>
      </w:pPr>
    </w:p>
    <w:p>
      <w:pPr>
        <w:keepNext/>
        <w:keepLines/>
        <w:spacing w:line="580" w:lineRule="exact"/>
        <w:jc w:val="center"/>
        <w:outlineLvl w:val="0"/>
        <w:rPr>
          <w:rFonts w:ascii="黑体" w:eastAsia="黑体"/>
          <w:b/>
          <w:bCs/>
          <w:color w:val="000000"/>
          <w:kern w:val="44"/>
          <w:sz w:val="32"/>
          <w:szCs w:val="32"/>
        </w:rPr>
      </w:pPr>
      <w:bookmarkStart w:id="22" w:name="_Toc8413"/>
      <w:bookmarkStart w:id="23" w:name="_Toc12468"/>
      <w:r>
        <w:rPr>
          <w:rFonts w:hint="eastAsia" w:ascii="黑体" w:eastAsia="黑体"/>
          <w:b/>
          <w:bCs/>
          <w:color w:val="000000"/>
          <w:kern w:val="44"/>
          <w:sz w:val="32"/>
          <w:szCs w:val="32"/>
        </w:rPr>
        <w:t>四、主要指标解释</w:t>
      </w:r>
      <w:bookmarkEnd w:id="22"/>
      <w:bookmarkEnd w:id="23"/>
    </w:p>
    <w:p>
      <w:pPr>
        <w:pStyle w:val="3"/>
        <w:ind w:firstLine="0"/>
        <w:jc w:val="center"/>
        <w:rPr>
          <w:rFonts w:ascii="宋体" w:hAnsi="Calibri Light"/>
          <w:bCs/>
          <w:color w:val="000000"/>
          <w:sz w:val="32"/>
          <w:szCs w:val="32"/>
        </w:rPr>
      </w:pPr>
      <w:r>
        <w:rPr>
          <w:rFonts w:hint="eastAsia" w:ascii="宋体" w:hAnsi="Calibri Light"/>
          <w:bCs/>
          <w:color w:val="000000"/>
          <w:sz w:val="32"/>
          <w:szCs w:val="32"/>
        </w:rPr>
        <w:t>企业基本情况</w:t>
      </w:r>
    </w:p>
    <w:p>
      <w:pPr>
        <w:spacing w:line="400" w:lineRule="exact"/>
        <w:ind w:firstLine="420" w:firstLineChars="200"/>
        <w:rPr>
          <w:color w:val="auto"/>
        </w:rPr>
      </w:pPr>
      <w:r>
        <w:rPr>
          <w:rFonts w:hint="eastAsia" w:ascii="黑体" w:eastAsia="黑体"/>
          <w:color w:val="auto"/>
        </w:rPr>
        <w:t>统一社会信用代码</w:t>
      </w:r>
      <w:r>
        <w:rPr>
          <w:rFonts w:hint="eastAsia" w:ascii="黑体" w:eastAsia="黑体" w:cs="黑体"/>
          <w:color w:val="auto"/>
        </w:rPr>
        <w:t xml:space="preserve">  </w:t>
      </w:r>
      <w:r>
        <w:rPr>
          <w:rFonts w:hint="eastAsia" w:ascii="宋体"/>
          <w:color w:val="auto"/>
          <w:kern w:val="0"/>
        </w:rPr>
        <w:t>指按照《国务院关于批转发展改革委等部门法人和其他组织统一社会信用代码制度建设总体方案的通知》（国发〔2015〕33号）规定，由赋码主管部门给</w:t>
      </w:r>
      <w:r>
        <w:rPr>
          <w:rFonts w:hint="eastAsia"/>
          <w:color w:val="auto"/>
        </w:rPr>
        <w:t>每一个法人单位和其他组织颁发的在全国范围内唯一的、终身不变的法定身份识别码。所</w:t>
      </w:r>
      <w:r>
        <w:rPr>
          <w:color w:val="auto"/>
        </w:rPr>
        <w:t>有单位均填写本项。</w:t>
      </w:r>
    </w:p>
    <w:p>
      <w:pPr>
        <w:spacing w:line="360" w:lineRule="exact"/>
        <w:ind w:firstLine="420" w:firstLineChars="200"/>
        <w:rPr>
          <w:rFonts w:ascii="宋体" w:hAnsi="宋体"/>
          <w:color w:val="auto"/>
        </w:rPr>
      </w:pPr>
      <w:r>
        <w:rPr>
          <w:rFonts w:hint="eastAsia" w:ascii="宋体" w:hAnsi="宋体"/>
          <w:color w:val="auto"/>
        </w:rPr>
        <w:t>已经领取了统一社会信用代码的单位必须填写统一社会信用代码。在填写时，要按照《营业执照》或其他证照上的统一社会信用代码填写。尚未领取统一社会信用代码的单位，由统计部门赋予统计用临时代码。</w:t>
      </w:r>
    </w:p>
    <w:p>
      <w:pPr>
        <w:snapToGrid w:val="0"/>
        <w:spacing w:line="400" w:lineRule="exact"/>
        <w:ind w:firstLine="420" w:firstLineChars="200"/>
        <w:rPr>
          <w:rFonts w:ascii="宋体"/>
          <w:color w:val="auto"/>
        </w:rPr>
      </w:pPr>
      <w:r>
        <w:rPr>
          <w:rFonts w:hint="eastAsia" w:ascii="黑体" w:eastAsia="黑体"/>
          <w:color w:val="auto"/>
          <w:szCs w:val="21"/>
        </w:rPr>
        <w:t>单位详细名称</w:t>
      </w:r>
      <w:r>
        <w:rPr>
          <w:rFonts w:hint="eastAsia" w:ascii="宋体"/>
          <w:color w:val="auto"/>
          <w:szCs w:val="21"/>
        </w:rPr>
        <w:t xml:space="preserve">  </w:t>
      </w:r>
      <w:r>
        <w:rPr>
          <w:rFonts w:hint="eastAsia" w:ascii="宋体" w:cs="宋体"/>
          <w:color w:val="auto"/>
        </w:rPr>
        <w:t>指经有关部门批准正式使用的单位全称。所有单位均填写本项。</w:t>
      </w:r>
    </w:p>
    <w:p>
      <w:pPr>
        <w:snapToGrid w:val="0"/>
        <w:spacing w:line="400" w:lineRule="exact"/>
        <w:ind w:firstLine="420" w:firstLineChars="200"/>
        <w:rPr>
          <w:rFonts w:ascii="宋体"/>
          <w:i/>
          <w:iCs/>
          <w:color w:val="auto"/>
          <w:u w:val="single"/>
        </w:rPr>
      </w:pPr>
      <w:r>
        <w:rPr>
          <w:rFonts w:hint="eastAsia" w:ascii="宋体" w:cs="宋体"/>
          <w:color w:val="auto"/>
        </w:rPr>
        <w:t>企业的详细名称按市场监管部门登记的名称填写；机关、事业单位的详细名称按编制部门登记、批准的名称填写；社会团体、民办非企业单位、基金会和基层群众自治组织的详细名称按民政部门登记、批准的名称填写。其他单位按相关部门登记、批准的名称填写。填写时要求使用规范化汉字填写，并与单位公章所使用的名称完全一致，不得使用简称、缩写等。</w:t>
      </w:r>
    </w:p>
    <w:p>
      <w:pPr>
        <w:pStyle w:val="3"/>
        <w:spacing w:line="460" w:lineRule="exact"/>
        <w:ind w:firstLineChars="200"/>
      </w:pPr>
      <w:r>
        <w:rPr>
          <w:rFonts w:hint="eastAsia" w:ascii="宋体" w:cs="宋体"/>
          <w:color w:val="auto"/>
        </w:rPr>
        <w:t>凡经登记主管机关核准或批准，具有两个或两个以上名称的单位，要求填写一个单位名称，同时用括号注明其余的单位名称</w:t>
      </w:r>
      <w:r>
        <w:rPr>
          <w:rFonts w:hint="eastAsia"/>
        </w:rPr>
        <w:t>。</w:t>
      </w:r>
    </w:p>
    <w:p>
      <w:pPr>
        <w:pStyle w:val="3"/>
        <w:ind w:firstLine="0"/>
      </w:pPr>
    </w:p>
    <w:p>
      <w:pPr>
        <w:pStyle w:val="3"/>
        <w:ind w:firstLine="0"/>
        <w:jc w:val="center"/>
        <w:rPr>
          <w:rFonts w:ascii="宋体" w:hAnsi="Calibri Light"/>
          <w:bCs/>
          <w:color w:val="000000"/>
          <w:sz w:val="32"/>
          <w:szCs w:val="32"/>
        </w:rPr>
      </w:pPr>
      <w:r>
        <w:rPr>
          <w:rFonts w:hint="eastAsia" w:ascii="宋体" w:hAnsi="Calibri Light"/>
          <w:bCs/>
          <w:color w:val="000000"/>
          <w:sz w:val="32"/>
          <w:szCs w:val="32"/>
        </w:rPr>
        <w:t>医疗服务及床位利用情况</w:t>
      </w:r>
    </w:p>
    <w:p>
      <w:pPr>
        <w:pStyle w:val="3"/>
        <w:spacing w:line="460" w:lineRule="exact"/>
        <w:ind w:firstLineChars="200"/>
      </w:pPr>
      <w:r>
        <w:rPr>
          <w:rFonts w:hint="eastAsia"/>
        </w:rPr>
        <w:t>医疗旅游  旅游者可以根据自己的病情、医生的建议，选择合适的游览区，在旅游的同时享受健康管家服务，进行有效的健康管理，达到身心健康的目的。</w:t>
      </w:r>
    </w:p>
    <w:p>
      <w:pPr>
        <w:keepNext w:val="0"/>
        <w:keepLines w:val="0"/>
        <w:widowControl w:val="0"/>
        <w:suppressLineNumbers w:val="0"/>
        <w:spacing w:before="0" w:beforeAutospacing="0" w:after="0" w:afterAutospacing="0" w:line="460" w:lineRule="exact"/>
        <w:ind w:left="0" w:right="0" w:firstLineChars="200"/>
        <w:jc w:val="both"/>
      </w:pPr>
      <w:r>
        <w:rPr>
          <w:rFonts w:hint="eastAsia"/>
        </w:rPr>
        <w:t>参观人数  指各纳统对象接待的，以科普教育（如医学知识普及、健康理念宣传）、健康研学（如医疗专业学生实践、健康产业考察学习）、医疗旅游（如就医前考察、就医相关出行度假）、参观调研（如医疗行业调研、政策考察）等为目的的实际到访人次。</w:t>
      </w:r>
    </w:p>
    <w:p>
      <w:pPr>
        <w:pStyle w:val="3"/>
        <w:spacing w:line="460" w:lineRule="exact"/>
        <w:ind w:firstLineChars="200"/>
      </w:pPr>
      <w:r>
        <w:rPr>
          <w:rFonts w:hint="eastAsia"/>
        </w:rPr>
        <w:t>会议培训人次  指各纳统对象在乐城内主办/承办的医学类会议、医疗专业培训、国际医疗学术交流活动、健康产业研讨活动等的实际参与人次（含线下参会、培训的参与人次）。</w:t>
      </w:r>
    </w:p>
    <w:p>
      <w:pPr>
        <w:keepNext w:val="0"/>
        <w:keepLines w:val="0"/>
        <w:widowControl w:val="0"/>
        <w:suppressLineNumbers w:val="0"/>
        <w:spacing w:before="0" w:beforeAutospacing="0" w:after="0" w:afterAutospacing="0" w:line="460" w:lineRule="exact"/>
        <w:ind w:left="0" w:right="0" w:firstLineChars="200"/>
        <w:jc w:val="both"/>
      </w:pPr>
      <w:r>
        <w:rPr>
          <w:rFonts w:hint="eastAsia"/>
        </w:rPr>
        <w:t>康复康养人次  指在园区内医疗机构、专业康复康养机构接受术后功能康复、慢性病康复调理、干部健康保健（干保）服务、离退休人员健康疗养及医疗健康相关消费购物（如保健品购买、医疗辅助用品选购、创新药械体验）等专业健康服务的实际人次。</w:t>
      </w:r>
    </w:p>
    <w:p>
      <w:pPr>
        <w:keepNext w:val="0"/>
        <w:keepLines w:val="0"/>
        <w:widowControl w:val="0"/>
        <w:suppressLineNumbers w:val="0"/>
        <w:spacing w:before="0" w:beforeAutospacing="0" w:after="0" w:afterAutospacing="0" w:line="460" w:lineRule="exact"/>
        <w:ind w:left="0" w:right="0" w:firstLineChars="200"/>
        <w:jc w:val="both"/>
      </w:pPr>
      <w:r>
        <w:rPr>
          <w:rFonts w:hint="eastAsia"/>
        </w:rPr>
        <w:t xml:space="preserve">其他人次 </w:t>
      </w:r>
      <w:r>
        <w:rPr>
          <w:rFonts w:hint="eastAsia"/>
          <w:lang w:eastAsia="zh"/>
        </w:rPr>
        <w:t xml:space="preserve"> </w:t>
      </w:r>
      <w:r>
        <w:rPr>
          <w:rFonts w:hint="eastAsia"/>
        </w:rPr>
        <w:t>指在各医疗机构中发生的患者陪诊、住院陪护（限直系亲属或指定陪护人员），及其他符合医疗旅游统计特征的相关人次（如医疗志愿者、短期医疗支援人员），但不含以取得报酬为目的的陪护人员。</w:t>
      </w:r>
    </w:p>
    <w:p>
      <w:pPr>
        <w:pStyle w:val="3"/>
        <w:spacing w:line="460" w:lineRule="exact"/>
        <w:ind w:firstLineChars="200"/>
        <w:rPr>
          <w:rFonts w:hint="eastAsia"/>
        </w:rPr>
      </w:pPr>
      <w:r>
        <w:rPr>
          <w:rFonts w:hint="eastAsia"/>
        </w:rPr>
        <w:t>医疗器械  参考2021医疗器械分类目录(新版)。</w:t>
      </w:r>
    </w:p>
    <w:p>
      <w:pPr>
        <w:pStyle w:val="3"/>
        <w:spacing w:line="460" w:lineRule="exact"/>
        <w:ind w:firstLineChars="200"/>
        <w:rPr>
          <w:rFonts w:hint="eastAsia"/>
        </w:rPr>
      </w:pPr>
      <w:r>
        <w:rPr>
          <w:rFonts w:hint="eastAsia"/>
        </w:rPr>
        <w:t>境外来就医人次 指在一定时期内，非本国（地区）常住居民因医疗需求前来本国（地区）接受医疗服务的人数统计，以实际就诊的次数为计算依据，一人多次就医则计为多人次。</w:t>
      </w:r>
    </w:p>
    <w:p>
      <w:pPr>
        <w:pStyle w:val="3"/>
        <w:spacing w:line="460" w:lineRule="exact"/>
        <w:ind w:firstLineChars="200"/>
        <w:rPr>
          <w:rFonts w:hint="eastAsia"/>
        </w:rPr>
      </w:pPr>
      <w:r>
        <w:rPr>
          <w:rFonts w:hint="eastAsia"/>
        </w:rPr>
        <w:t>特许药械使用人次 指在一定时期内，使用了特许药械的患者的数量统计，一人次代表一名患者使用了一种特许药械，同一名患者使用不同特许药械则计为多人次。</w:t>
      </w:r>
    </w:p>
    <w:p>
      <w:pPr>
        <w:pStyle w:val="3"/>
        <w:spacing w:line="460" w:lineRule="exact"/>
        <w:ind w:firstLineChars="200"/>
        <w:rPr>
          <w:rFonts w:hint="eastAsia"/>
        </w:rPr>
      </w:pPr>
      <w:r>
        <w:rPr>
          <w:rFonts w:hint="eastAsia"/>
        </w:rPr>
        <w:t>生物医学新技术使用人次 指在特定时间段内，患者接受细胞治疗、基因治疗、组织工程等生物医学新技术医疗服务的实际次数。一人接受多次不同或相同的生物医学新技术治疗，按实际次数累计计算。</w:t>
      </w:r>
    </w:p>
    <w:p>
      <w:pPr>
        <w:pStyle w:val="3"/>
        <w:spacing w:line="460" w:lineRule="exact"/>
        <w:ind w:firstLineChars="200"/>
        <w:rPr>
          <w:rFonts w:hint="eastAsia"/>
        </w:rPr>
      </w:pPr>
      <w:r>
        <w:rPr>
          <w:rFonts w:hint="eastAsia"/>
        </w:rPr>
        <w:t>特许食品使用人次 指在特定时间段内，患者使用临时进口的保健食品和特殊医学用途配方食品的实际人数统计，以实际使用特许食品的次数为计算依据，一人多次使用则计为多人次。</w:t>
      </w:r>
    </w:p>
    <w:p>
      <w:pPr>
        <w:pStyle w:val="3"/>
        <w:spacing w:line="460" w:lineRule="exact"/>
        <w:ind w:firstLineChars="200"/>
        <w:rPr>
          <w:rFonts w:hint="eastAsia"/>
        </w:rPr>
      </w:pPr>
      <w:r>
        <w:rPr>
          <w:rFonts w:hint="eastAsia"/>
        </w:rPr>
        <w:t>特许食品使用品种 指在特定时间段内，临时进口并实际使用的保健食品和特殊医学用途配方食品的种类数量。</w:t>
      </w:r>
    </w:p>
    <w:p>
      <w:pPr>
        <w:pStyle w:val="3"/>
        <w:ind w:firstLine="0"/>
      </w:pPr>
    </w:p>
    <w:p>
      <w:pPr>
        <w:pStyle w:val="3"/>
        <w:ind w:firstLine="0"/>
        <w:jc w:val="center"/>
        <w:rPr>
          <w:rFonts w:ascii="宋体" w:hAnsi="Calibri Light"/>
          <w:bCs/>
          <w:color w:val="000000"/>
          <w:sz w:val="32"/>
          <w:szCs w:val="32"/>
        </w:rPr>
      </w:pPr>
      <w:r>
        <w:rPr>
          <w:rFonts w:hint="eastAsia" w:ascii="宋体" w:hAnsi="Calibri Light"/>
          <w:bCs/>
          <w:color w:val="000000"/>
          <w:sz w:val="32"/>
          <w:szCs w:val="32"/>
        </w:rPr>
        <w:t>企业人员情况</w:t>
      </w:r>
    </w:p>
    <w:p>
      <w:pPr>
        <w:pStyle w:val="10"/>
        <w:keepNext w:val="0"/>
        <w:keepLines w:val="0"/>
        <w:pageBreakBefore w:val="0"/>
        <w:kinsoku/>
        <w:wordWrap/>
        <w:overflowPunct/>
        <w:topLinePunct w:val="0"/>
        <w:autoSpaceDE/>
        <w:autoSpaceDN/>
        <w:bidi w:val="0"/>
        <w:adjustRightInd/>
        <w:snapToGrid/>
        <w:spacing w:after="0" w:line="400" w:lineRule="exact"/>
        <w:ind w:firstLine="421" w:firstLineChars="200"/>
        <w:textAlignment w:val="auto"/>
        <w:rPr>
          <w:rFonts w:hint="eastAsia" w:asciiTheme="minorEastAsia" w:hAnsiTheme="minorEastAsia" w:eastAsiaTheme="minorEastAsia" w:cstheme="minorEastAsia"/>
          <w:strike/>
          <w:dstrike w:val="0"/>
          <w:snapToGrid w:val="0"/>
          <w:color w:val="auto"/>
          <w:kern w:val="0"/>
          <w:sz w:val="21"/>
          <w:szCs w:val="21"/>
          <w:lang w:val="en-US" w:eastAsia="en-US" w:bidi="ar-SA"/>
        </w:rPr>
      </w:pPr>
      <w:r>
        <w:rPr>
          <w:rFonts w:hint="eastAsia" w:asciiTheme="minorEastAsia" w:hAnsiTheme="minorEastAsia" w:eastAsiaTheme="minorEastAsia" w:cstheme="minorEastAsia"/>
          <w:b/>
          <w:bCs/>
          <w:snapToGrid w:val="0"/>
          <w:color w:val="auto"/>
          <w:kern w:val="0"/>
          <w:sz w:val="21"/>
          <w:szCs w:val="21"/>
          <w:lang w:val="en-US" w:eastAsia="en-US" w:bidi="ar-SA"/>
        </w:rPr>
        <w:t>期末从业人员数</w:t>
      </w:r>
      <w:r>
        <w:rPr>
          <w:rFonts w:hint="eastAsia" w:asciiTheme="minorEastAsia" w:hAnsiTheme="minorEastAsia" w:eastAsiaTheme="minorEastAsia" w:cstheme="minorEastAsia"/>
          <w:snapToGrid w:val="0"/>
          <w:color w:val="auto"/>
          <w:kern w:val="0"/>
          <w:sz w:val="21"/>
          <w:szCs w:val="21"/>
          <w:lang w:val="en-US" w:eastAsia="en-US" w:bidi="ar-SA"/>
        </w:rPr>
        <w:t xml:space="preserve">  </w:t>
      </w:r>
      <w:r>
        <w:rPr>
          <w:rFonts w:hint="eastAsia" w:ascii="Times New Roman" w:hAnsi="Times New Roman" w:eastAsia="宋体" w:cs="Times New Roman"/>
          <w:color w:val="auto"/>
          <w:sz w:val="21"/>
          <w:szCs w:val="22"/>
        </w:rPr>
        <w:t>指</w:t>
      </w:r>
      <w:r>
        <w:rPr>
          <w:rFonts w:hint="eastAsia" w:ascii="Times New Roman" w:hAnsi="Times New Roman" w:eastAsia="宋体" w:cs="Times New Roman"/>
          <w:color w:val="auto"/>
          <w:sz w:val="21"/>
          <w:szCs w:val="22"/>
          <w:lang w:eastAsia="zh-CN"/>
        </w:rPr>
        <w:t>月度或年度</w:t>
      </w:r>
      <w:r>
        <w:rPr>
          <w:rFonts w:hint="eastAsia" w:ascii="Times New Roman" w:hAnsi="Times New Roman" w:eastAsia="宋体" w:cs="Times New Roman"/>
          <w:color w:val="auto"/>
          <w:sz w:val="21"/>
          <w:szCs w:val="22"/>
        </w:rPr>
        <w:t>最后一日在本单位工作，并取得工资或其他形式劳动报酬的人员数。该指标为时点指标，不包括最后一日当天及以前已经与单位解除劳动合同关系的人员，是在岗职工、劳务派遣人员及其他从业人员之和。</w:t>
      </w:r>
      <w:r>
        <w:rPr>
          <w:rFonts w:hint="eastAsia" w:ascii="Times New Roman" w:hAnsi="Times New Roman" w:eastAsia="宋体" w:cs="Times New Roman"/>
          <w:color w:val="auto"/>
          <w:sz w:val="21"/>
          <w:szCs w:val="22"/>
          <w:lang w:eastAsia="zh-CN"/>
        </w:rPr>
        <w:t>其中不包括</w:t>
      </w:r>
      <w:r>
        <w:rPr>
          <w:rFonts w:hint="eastAsia" w:ascii="Times New Roman" w:hAnsi="Times New Roman" w:eastAsia="宋体" w:cs="Times New Roman"/>
          <w:color w:val="auto"/>
          <w:sz w:val="21"/>
          <w:szCs w:val="22"/>
        </w:rPr>
        <w:t>离开本单位仍保留劳动关系，并定期领取生活费的人员</w:t>
      </w:r>
      <w:r>
        <w:rPr>
          <w:rFonts w:hint="eastAsia" w:ascii="Times New Roman" w:hAnsi="Times New Roman" w:eastAsia="宋体" w:cs="Times New Roman"/>
          <w:color w:val="auto"/>
          <w:sz w:val="21"/>
          <w:szCs w:val="22"/>
          <w:lang w:eastAsia="zh-CN"/>
        </w:rPr>
        <w:t>和在单位实习的各类在校学生</w:t>
      </w:r>
      <w:r>
        <w:rPr>
          <w:rFonts w:hint="eastAsia" w:ascii="Times New Roman" w:hAnsi="Times New Roman" w:eastAsia="宋体" w:cs="Times New Roman"/>
          <w:snapToGrid/>
          <w:color w:val="auto"/>
          <w:kern w:val="0"/>
          <w:sz w:val="21"/>
          <w:szCs w:val="22"/>
          <w:lang w:val="en-US" w:eastAsia="zh-CN" w:bidi="ar"/>
        </w:rPr>
        <w:t>。</w:t>
      </w:r>
    </w:p>
    <w:p>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Times New Roman" w:hAnsi="Times New Roman" w:eastAsia="宋体" w:cs="Times New Roman"/>
          <w:i w:val="0"/>
          <w:iCs w:val="0"/>
          <w:caps w:val="0"/>
          <w:color w:val="auto"/>
          <w:spacing w:val="0"/>
          <w:kern w:val="2"/>
          <w:sz w:val="21"/>
          <w:szCs w:val="24"/>
          <w:shd w:val="clear"/>
          <w:lang w:eastAsia="zh-CN" w:bidi="ar-SA"/>
        </w:rPr>
      </w:pPr>
      <w:r>
        <w:rPr>
          <w:rFonts w:hint="eastAsia" w:ascii="黑体" w:eastAsia="黑体" w:cs="黑体"/>
          <w:color w:val="auto"/>
          <w:kern w:val="2"/>
          <w:sz w:val="21"/>
          <w:lang w:val="en-US" w:eastAsia="zh-CN" w:bidi="ar-SA"/>
        </w:rPr>
        <w:t xml:space="preserve">高级职称人数  </w:t>
      </w:r>
      <w:r>
        <w:rPr>
          <w:rFonts w:hint="eastAsia"/>
          <w:color w:val="auto"/>
          <w:kern w:val="2"/>
          <w:sz w:val="21"/>
          <w:lang w:val="en-US" w:eastAsia="zh-CN" w:bidi="ar-SA"/>
        </w:rPr>
        <w:t>指获得</w:t>
      </w:r>
      <w:r>
        <w:rPr>
          <w:rFonts w:hint="eastAsia" w:ascii="Times New Roman" w:hAnsi="Times New Roman" w:eastAsia="宋体" w:cs="Times New Roman"/>
          <w:i w:val="0"/>
          <w:iCs w:val="0"/>
          <w:caps w:val="0"/>
          <w:color w:val="auto"/>
          <w:spacing w:val="0"/>
          <w:kern w:val="2"/>
          <w:sz w:val="21"/>
          <w:szCs w:val="24"/>
          <w:shd w:val="clear"/>
          <w:lang w:bidi="ar-SA"/>
        </w:rPr>
        <w:t>副主任护师、主任护师</w:t>
      </w:r>
      <w:r>
        <w:rPr>
          <w:rFonts w:hint="eastAsia" w:ascii="Times New Roman" w:hAnsi="Times New Roman" w:eastAsia="宋体" w:cs="Times New Roman"/>
          <w:i w:val="0"/>
          <w:iCs w:val="0"/>
          <w:caps w:val="0"/>
          <w:color w:val="auto"/>
          <w:spacing w:val="0"/>
          <w:kern w:val="2"/>
          <w:sz w:val="21"/>
          <w:szCs w:val="24"/>
          <w:shd w:val="clear"/>
          <w:lang w:eastAsia="zh-CN" w:bidi="ar-SA"/>
        </w:rPr>
        <w:t>，</w:t>
      </w:r>
      <w:r>
        <w:rPr>
          <w:rFonts w:hint="eastAsia" w:ascii="Times New Roman" w:hAnsi="Times New Roman" w:eastAsia="宋体" w:cs="Times New Roman"/>
          <w:i w:val="0"/>
          <w:iCs w:val="0"/>
          <w:caps w:val="0"/>
          <w:color w:val="auto"/>
          <w:spacing w:val="0"/>
          <w:kern w:val="2"/>
          <w:sz w:val="21"/>
          <w:szCs w:val="24"/>
          <w:shd w:val="clear"/>
          <w:lang w:bidi="ar-SA"/>
        </w:rPr>
        <w:t>副主任</w: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begin"/>
      </w:r>
      <w:r>
        <w:rPr>
          <w:rFonts w:hint="eastAsia" w:ascii="Times New Roman" w:hAnsi="Times New Roman" w:eastAsia="宋体" w:cs="Times New Roman"/>
          <w:i w:val="0"/>
          <w:iCs w:val="0"/>
          <w:caps w:val="0"/>
          <w:color w:val="auto"/>
          <w:spacing w:val="0"/>
          <w:kern w:val="2"/>
          <w:sz w:val="21"/>
          <w:szCs w:val="24"/>
          <w:u w:val="none"/>
          <w:shd w:val="clear"/>
          <w:lang w:bidi="ar-SA"/>
        </w:rPr>
        <w:instrText xml:space="preserve"> HYPERLINK "https://vibaike.com/109480/" \t "https://vibaike.com/25731/_blank" </w:instrTex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separate"/>
      </w:r>
      <w:r>
        <w:rPr>
          <w:rFonts w:hint="eastAsia" w:ascii="Times New Roman" w:hAnsi="Times New Roman" w:eastAsia="宋体" w:cs="Times New Roman"/>
          <w:i w:val="0"/>
          <w:iCs w:val="0"/>
          <w:caps w:val="0"/>
          <w:color w:val="auto"/>
          <w:spacing w:val="0"/>
          <w:kern w:val="2"/>
          <w:sz w:val="21"/>
          <w:szCs w:val="24"/>
          <w:u w:val="none"/>
          <w:shd w:val="clear"/>
          <w:lang w:bidi="ar-SA"/>
        </w:rPr>
        <w:t>药剂师</w: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end"/>
      </w:r>
      <w:r>
        <w:rPr>
          <w:rFonts w:hint="eastAsia" w:ascii="Times New Roman" w:hAnsi="Times New Roman" w:eastAsia="宋体" w:cs="Times New Roman"/>
          <w:i w:val="0"/>
          <w:iCs w:val="0"/>
          <w:caps w:val="0"/>
          <w:color w:val="auto"/>
          <w:spacing w:val="0"/>
          <w:kern w:val="2"/>
          <w:sz w:val="21"/>
          <w:szCs w:val="24"/>
          <w:shd w:val="clear"/>
          <w:lang w:bidi="ar-SA"/>
        </w:rPr>
        <w:t>、主任药剂师</w:t>
      </w:r>
      <w:r>
        <w:rPr>
          <w:rFonts w:hint="eastAsia" w:ascii="Times New Roman" w:hAnsi="Times New Roman" w:eastAsia="宋体" w:cs="Times New Roman"/>
          <w:i w:val="0"/>
          <w:iCs w:val="0"/>
          <w:caps w:val="0"/>
          <w:color w:val="auto"/>
          <w:spacing w:val="0"/>
          <w:kern w:val="2"/>
          <w:sz w:val="21"/>
          <w:szCs w:val="24"/>
          <w:shd w:val="clear"/>
          <w:lang w:eastAsia="zh-CN" w:bidi="ar-SA"/>
        </w:rPr>
        <w:t>，</w:t>
      </w:r>
      <w:r>
        <w:rPr>
          <w:rFonts w:hint="eastAsia" w:ascii="Times New Roman" w:hAnsi="Times New Roman" w:eastAsia="宋体" w:cs="Times New Roman"/>
          <w:i w:val="0"/>
          <w:iCs w:val="0"/>
          <w:caps w:val="0"/>
          <w:color w:val="auto"/>
          <w:spacing w:val="0"/>
          <w:kern w:val="2"/>
          <w:sz w:val="21"/>
          <w:szCs w:val="24"/>
          <w:shd w:val="clear"/>
          <w:lang w:bidi="ar-SA"/>
        </w:rPr>
        <w:t>副主任药剂师、主任药剂师</w:t>
      </w:r>
      <w:r>
        <w:rPr>
          <w:rFonts w:hint="eastAsia" w:ascii="Times New Roman" w:hAnsi="Times New Roman" w:eastAsia="宋体" w:cs="Times New Roman"/>
          <w:i w:val="0"/>
          <w:iCs w:val="0"/>
          <w:caps w:val="0"/>
          <w:color w:val="auto"/>
          <w:spacing w:val="0"/>
          <w:kern w:val="2"/>
          <w:sz w:val="21"/>
          <w:szCs w:val="24"/>
          <w:shd w:val="clear"/>
          <w:lang w:eastAsia="zh-CN" w:bidi="ar-SA"/>
        </w:rPr>
        <w:t>，</w:t>
      </w:r>
      <w:r>
        <w:rPr>
          <w:rFonts w:hint="eastAsia" w:ascii="Times New Roman" w:hAnsi="Times New Roman" w:eastAsia="宋体" w:cs="Times New Roman"/>
          <w:i w:val="0"/>
          <w:iCs w:val="0"/>
          <w:caps w:val="0"/>
          <w:color w:val="auto"/>
          <w:spacing w:val="0"/>
          <w:kern w:val="2"/>
          <w:sz w:val="21"/>
          <w:szCs w:val="24"/>
          <w:shd w:val="clear"/>
          <w:lang w:bidi="ar-SA"/>
        </w:rPr>
        <w:t>副主任检验师、主任检验师</w:t>
      </w:r>
      <w:r>
        <w:rPr>
          <w:rFonts w:hint="eastAsia" w:ascii="Times New Roman" w:hAnsi="Times New Roman" w:eastAsia="宋体" w:cs="Times New Roman"/>
          <w:i w:val="0"/>
          <w:iCs w:val="0"/>
          <w:caps w:val="0"/>
          <w:color w:val="auto"/>
          <w:spacing w:val="0"/>
          <w:kern w:val="2"/>
          <w:sz w:val="21"/>
          <w:szCs w:val="24"/>
          <w:shd w:val="clear"/>
          <w:lang w:eastAsia="zh-CN" w:bidi="ar-SA"/>
        </w:rPr>
        <w:t>，</w:t>
      </w:r>
      <w:r>
        <w:rPr>
          <w:rFonts w:hint="eastAsia" w:ascii="Times New Roman" w:hAnsi="Times New Roman" w:eastAsia="宋体" w:cs="Times New Roman"/>
          <w:i w:val="0"/>
          <w:iCs w:val="0"/>
          <w:caps w:val="0"/>
          <w:color w:val="auto"/>
          <w:spacing w:val="0"/>
          <w:kern w:val="2"/>
          <w:sz w:val="21"/>
          <w:szCs w:val="24"/>
          <w:shd w:val="clear"/>
          <w:lang w:bidi="ar-SA"/>
        </w:rPr>
        <w:t>副</w: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begin"/>
      </w:r>
      <w:r>
        <w:rPr>
          <w:rFonts w:hint="eastAsia" w:ascii="Times New Roman" w:hAnsi="Times New Roman" w:eastAsia="宋体" w:cs="Times New Roman"/>
          <w:i w:val="0"/>
          <w:iCs w:val="0"/>
          <w:caps w:val="0"/>
          <w:color w:val="auto"/>
          <w:spacing w:val="0"/>
          <w:kern w:val="2"/>
          <w:sz w:val="21"/>
          <w:szCs w:val="24"/>
          <w:u w:val="none"/>
          <w:shd w:val="clear"/>
          <w:lang w:bidi="ar-SA"/>
        </w:rPr>
        <w:instrText xml:space="preserve"> HYPERLINK "https://vibaike.com/19696/" \t "https://vibaike.com/25731/_blank" </w:instrTex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separate"/>
      </w:r>
      <w:r>
        <w:rPr>
          <w:rFonts w:hint="eastAsia" w:ascii="Times New Roman" w:hAnsi="Times New Roman" w:eastAsia="宋体" w:cs="Times New Roman"/>
          <w:i w:val="0"/>
          <w:iCs w:val="0"/>
          <w:caps w:val="0"/>
          <w:color w:val="auto"/>
          <w:spacing w:val="0"/>
          <w:kern w:val="2"/>
          <w:sz w:val="21"/>
          <w:szCs w:val="24"/>
          <w:u w:val="none"/>
          <w:shd w:val="clear"/>
          <w:lang w:bidi="ar-SA"/>
        </w:rPr>
        <w:t>主任医师</w: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end"/>
      </w:r>
      <w:r>
        <w:rPr>
          <w:rFonts w:hint="eastAsia" w:ascii="Times New Roman" w:hAnsi="Times New Roman" w:eastAsia="宋体" w:cs="Times New Roman"/>
          <w:i w:val="0"/>
          <w:iCs w:val="0"/>
          <w:caps w:val="0"/>
          <w:color w:val="auto"/>
          <w:spacing w:val="0"/>
          <w:kern w:val="2"/>
          <w:sz w:val="21"/>
          <w:szCs w:val="24"/>
          <w:shd w:val="clear"/>
          <w:lang w:bidi="ar-SA"/>
        </w:rPr>
        <w:t>、主任医师</w:t>
      </w:r>
      <w:r>
        <w:rPr>
          <w:rFonts w:hint="eastAsia" w:cs="Times New Roman"/>
          <w:i w:val="0"/>
          <w:iCs w:val="0"/>
          <w:caps w:val="0"/>
          <w:color w:val="auto"/>
          <w:spacing w:val="0"/>
          <w:kern w:val="2"/>
          <w:sz w:val="21"/>
          <w:szCs w:val="24"/>
          <w:shd w:val="clear"/>
          <w:lang w:val="en-US" w:eastAsia="zh-CN" w:bidi="ar-SA"/>
        </w:rPr>
        <w:t>职称的人数</w:t>
      </w:r>
      <w:r>
        <w:rPr>
          <w:rFonts w:hint="eastAsia" w:cs="Times New Roman"/>
          <w:i w:val="0"/>
          <w:iCs w:val="0"/>
          <w:caps w:val="0"/>
          <w:color w:val="auto"/>
          <w:spacing w:val="0"/>
          <w:kern w:val="2"/>
          <w:sz w:val="21"/>
          <w:szCs w:val="24"/>
          <w:shd w:val="clear"/>
          <w:lang w:eastAsia="zh-CN" w:bidi="ar-SA"/>
        </w:rPr>
        <w:t>。</w:t>
      </w:r>
    </w:p>
    <w:p>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Times New Roman" w:hAnsi="Times New Roman" w:eastAsia="宋体" w:cs="Times New Roman"/>
          <w:i w:val="0"/>
          <w:iCs w:val="0"/>
          <w:caps w:val="0"/>
          <w:color w:val="auto"/>
          <w:spacing w:val="0"/>
          <w:kern w:val="2"/>
          <w:sz w:val="21"/>
          <w:szCs w:val="24"/>
          <w:shd w:val="clear"/>
          <w:lang w:bidi="ar-SA"/>
        </w:rPr>
      </w:pPr>
      <w:r>
        <w:rPr>
          <w:rFonts w:hint="eastAsia" w:ascii="黑体" w:eastAsia="黑体" w:cs="黑体"/>
          <w:color w:val="auto"/>
          <w:kern w:val="2"/>
          <w:sz w:val="21"/>
          <w:lang w:val="en-US" w:eastAsia="zh-CN" w:bidi="ar-SA"/>
        </w:rPr>
        <w:t xml:space="preserve">中级职称人数  </w:t>
      </w:r>
      <w:r>
        <w:rPr>
          <w:rFonts w:hint="eastAsia" w:ascii="Times New Roman" w:eastAsia="宋体" w:cs="Times New Roman"/>
          <w:color w:val="auto"/>
          <w:kern w:val="2"/>
          <w:sz w:val="21"/>
          <w:u w:val="none"/>
          <w:lang w:val="en-US" w:eastAsia="zh-CN" w:bidi="ar-SA"/>
        </w:rPr>
        <w:t>指</w:t>
      </w:r>
      <w:r>
        <w:rPr>
          <w:rFonts w:hint="eastAsia" w:cs="Times New Roman"/>
          <w:color w:val="auto"/>
          <w:kern w:val="2"/>
          <w:sz w:val="21"/>
          <w:u w:val="none"/>
          <w:lang w:val="en-US" w:eastAsia="zh-CN" w:bidi="ar-SA"/>
        </w:rPr>
        <w:t>获得</w: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begin"/>
      </w:r>
      <w:r>
        <w:rPr>
          <w:rFonts w:hint="eastAsia" w:ascii="Times New Roman" w:hAnsi="Times New Roman" w:eastAsia="宋体" w:cs="Times New Roman"/>
          <w:i w:val="0"/>
          <w:iCs w:val="0"/>
          <w:caps w:val="0"/>
          <w:color w:val="auto"/>
          <w:spacing w:val="0"/>
          <w:kern w:val="2"/>
          <w:sz w:val="21"/>
          <w:szCs w:val="24"/>
          <w:u w:val="none"/>
          <w:shd w:val="clear"/>
          <w:lang w:bidi="ar-SA"/>
        </w:rPr>
        <w:instrText xml:space="preserve"> HYPERLINK "https://vibaike.com/12847/" \t "https://vibaike.com/25731/_blank" </w:instrTex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separate"/>
      </w:r>
      <w:r>
        <w:rPr>
          <w:rFonts w:hint="eastAsia" w:ascii="Times New Roman" w:hAnsi="Times New Roman" w:eastAsia="宋体" w:cs="Times New Roman"/>
          <w:i w:val="0"/>
          <w:iCs w:val="0"/>
          <w:caps w:val="0"/>
          <w:color w:val="auto"/>
          <w:spacing w:val="0"/>
          <w:kern w:val="2"/>
          <w:sz w:val="21"/>
          <w:szCs w:val="24"/>
          <w:u w:val="none"/>
          <w:shd w:val="clear"/>
          <w:lang w:bidi="ar-SA"/>
        </w:rPr>
        <w:t>中级</w:t>
      </w:r>
      <w:r>
        <w:rPr>
          <w:rFonts w:hint="eastAsia" w:ascii="Times New Roman" w:hAnsi="Times New Roman" w:eastAsia="宋体" w:cs="Times New Roman"/>
          <w:i w:val="0"/>
          <w:iCs w:val="0"/>
          <w:caps w:val="0"/>
          <w:color w:val="auto"/>
          <w:spacing w:val="0"/>
          <w:kern w:val="2"/>
          <w:sz w:val="21"/>
          <w:szCs w:val="24"/>
          <w:u w:val="none"/>
          <w:shd w:val="clear"/>
          <w:lang w:bidi="ar-SA"/>
        </w:rPr>
        <w:fldChar w:fldCharType="end"/>
      </w:r>
      <w:r>
        <w:rPr>
          <w:rFonts w:hint="eastAsia" w:ascii="Times New Roman" w:hAnsi="Times New Roman" w:eastAsia="宋体" w:cs="Times New Roman"/>
          <w:i w:val="0"/>
          <w:iCs w:val="0"/>
          <w:caps w:val="0"/>
          <w:color w:val="auto"/>
          <w:spacing w:val="0"/>
          <w:kern w:val="2"/>
          <w:sz w:val="21"/>
          <w:szCs w:val="24"/>
          <w:shd w:val="clear"/>
          <w:lang w:bidi="ar-SA"/>
        </w:rPr>
        <w:t>主管药师，主管护师</w:t>
      </w:r>
      <w:r>
        <w:rPr>
          <w:rFonts w:hint="eastAsia" w:ascii="Times New Roman" w:hAnsi="Times New Roman" w:eastAsia="宋体" w:cs="Times New Roman"/>
          <w:i w:val="0"/>
          <w:iCs w:val="0"/>
          <w:caps w:val="0"/>
          <w:color w:val="auto"/>
          <w:spacing w:val="0"/>
          <w:kern w:val="2"/>
          <w:sz w:val="21"/>
          <w:szCs w:val="24"/>
          <w:shd w:val="clear"/>
          <w:lang w:eastAsia="zh-CN" w:bidi="ar-SA"/>
        </w:rPr>
        <w:t>，</w:t>
      </w:r>
      <w:r>
        <w:rPr>
          <w:rFonts w:hint="eastAsia" w:ascii="Times New Roman" w:hAnsi="Times New Roman" w:eastAsia="宋体" w:cs="Times New Roman"/>
          <w:i w:val="0"/>
          <w:iCs w:val="0"/>
          <w:caps w:val="0"/>
          <w:color w:val="auto"/>
          <w:spacing w:val="0"/>
          <w:kern w:val="2"/>
          <w:sz w:val="21"/>
          <w:szCs w:val="24"/>
          <w:shd w:val="clear"/>
          <w:lang w:bidi="ar-SA"/>
        </w:rPr>
        <w:t>中级主管中药师，检验主管技师</w:t>
      </w:r>
      <w:r>
        <w:rPr>
          <w:rFonts w:hint="eastAsia" w:ascii="Times New Roman" w:hAnsi="Times New Roman" w:eastAsia="宋体" w:cs="Times New Roman"/>
          <w:i w:val="0"/>
          <w:iCs w:val="0"/>
          <w:caps w:val="0"/>
          <w:color w:val="auto"/>
          <w:spacing w:val="0"/>
          <w:kern w:val="2"/>
          <w:sz w:val="21"/>
          <w:szCs w:val="24"/>
          <w:shd w:val="clear"/>
          <w:lang w:eastAsia="zh-CN" w:bidi="ar-SA"/>
        </w:rPr>
        <w:t>，</w:t>
      </w:r>
      <w:r>
        <w:rPr>
          <w:rFonts w:hint="eastAsia" w:ascii="Times New Roman" w:hAnsi="Times New Roman" w:eastAsia="宋体" w:cs="Times New Roman"/>
          <w:i w:val="0"/>
          <w:iCs w:val="0"/>
          <w:caps w:val="0"/>
          <w:color w:val="auto"/>
          <w:spacing w:val="0"/>
          <w:kern w:val="2"/>
          <w:sz w:val="21"/>
          <w:szCs w:val="24"/>
          <w:shd w:val="clear"/>
          <w:lang w:bidi="ar-SA"/>
        </w:rPr>
        <w:t>主治医师</w:t>
      </w:r>
      <w:r>
        <w:rPr>
          <w:rFonts w:hint="eastAsia" w:cs="Times New Roman"/>
          <w:i w:val="0"/>
          <w:iCs w:val="0"/>
          <w:caps w:val="0"/>
          <w:color w:val="auto"/>
          <w:spacing w:val="0"/>
          <w:kern w:val="2"/>
          <w:sz w:val="21"/>
          <w:szCs w:val="24"/>
          <w:shd w:val="clear"/>
          <w:lang w:val="en-US" w:eastAsia="zh-CN" w:bidi="ar-SA"/>
        </w:rPr>
        <w:t>职称的人数</w:t>
      </w:r>
    </w:p>
    <w:p>
      <w:pPr>
        <w:pStyle w:val="9"/>
        <w:keepNext w:val="0"/>
        <w:keepLines w:val="0"/>
        <w:pageBreakBefore w:val="0"/>
        <w:widowControl/>
        <w:shd w:val="clear" w:fill="FFFFFF"/>
        <w:kinsoku/>
        <w:wordWrap/>
        <w:overflowPunct/>
        <w:topLinePunct w:val="0"/>
        <w:autoSpaceDE/>
        <w:autoSpaceDN/>
        <w:bidi w:val="0"/>
        <w:adjustRightInd/>
        <w:snapToGrid/>
        <w:spacing w:beforeAutospacing="0" w:afterAutospacing="0" w:line="400" w:lineRule="exact"/>
        <w:ind w:firstLine="420" w:firstLineChars="200"/>
        <w:textAlignment w:val="auto"/>
        <w:rPr>
          <w:rFonts w:hint="eastAsia" w:ascii="黑体" w:eastAsia="黑体" w:cs="黑体"/>
          <w:color w:val="auto"/>
        </w:rPr>
      </w:pPr>
      <w:r>
        <w:rPr>
          <w:rFonts w:hint="eastAsia" w:ascii="黑体" w:eastAsia="黑体" w:cs="黑体"/>
          <w:color w:val="auto"/>
          <w:kern w:val="2"/>
          <w:sz w:val="21"/>
          <w:lang w:val="en-US" w:eastAsia="zh-CN" w:bidi="ar-SA"/>
        </w:rPr>
        <w:t xml:space="preserve">初级职称人数  </w:t>
      </w:r>
      <w:r>
        <w:rPr>
          <w:rFonts w:hint="eastAsia" w:ascii="Times New Roman" w:eastAsia="宋体" w:cs="Times New Roman"/>
          <w:color w:val="auto"/>
          <w:kern w:val="2"/>
          <w:sz w:val="21"/>
          <w:u w:val="none"/>
          <w:lang w:val="en-US" w:eastAsia="zh-CN" w:bidi="ar-SA"/>
        </w:rPr>
        <w:t>指获得</w:t>
      </w:r>
      <w:r>
        <w:rPr>
          <w:rFonts w:hint="eastAsia" w:ascii="Times New Roman" w:hAnsi="Times New Roman" w:eastAsia="宋体" w:cs="Times New Roman"/>
          <w:i w:val="0"/>
          <w:iCs w:val="0"/>
          <w:caps w:val="0"/>
          <w:color w:val="auto"/>
          <w:spacing w:val="0"/>
          <w:kern w:val="2"/>
          <w:sz w:val="21"/>
          <w:szCs w:val="24"/>
          <w:u w:val="none"/>
          <w:shd w:val="clear"/>
          <w:lang w:bidi="ar-SA"/>
        </w:rPr>
        <w:t>护师</w:t>
      </w:r>
      <w:r>
        <w:rPr>
          <w:rFonts w:hint="eastAsia" w:ascii="Times New Roman" w:hAnsi="Times New Roman" w:eastAsia="宋体" w:cs="Times New Roman"/>
          <w:i w:val="0"/>
          <w:iCs w:val="0"/>
          <w:caps w:val="0"/>
          <w:color w:val="auto"/>
          <w:spacing w:val="0"/>
          <w:kern w:val="2"/>
          <w:sz w:val="21"/>
          <w:szCs w:val="24"/>
          <w:u w:val="none"/>
          <w:shd w:val="clear"/>
          <w:lang w:eastAsia="zh-CN" w:bidi="ar-SA"/>
        </w:rPr>
        <w:t>，</w:t>
      </w:r>
      <w:r>
        <w:rPr>
          <w:rFonts w:hint="eastAsia" w:ascii="Times New Roman" w:hAnsi="Times New Roman" w:eastAsia="宋体" w:cs="Times New Roman"/>
          <w:i w:val="0"/>
          <w:iCs w:val="0"/>
          <w:caps w:val="0"/>
          <w:color w:val="auto"/>
          <w:spacing w:val="0"/>
          <w:kern w:val="2"/>
          <w:sz w:val="21"/>
          <w:szCs w:val="24"/>
          <w:u w:val="none"/>
          <w:shd w:val="clear"/>
          <w:lang w:bidi="ar-SA"/>
        </w:rPr>
        <w:t>初级药士，初级药师，初级中药士，初级中药师，初级检验技士，初级检验技师，助理医师</w:t>
      </w:r>
      <w:r>
        <w:rPr>
          <w:rFonts w:hint="eastAsia" w:ascii="Times New Roman" w:hAnsi="Times New Roman" w:eastAsia="宋体" w:cs="Times New Roman"/>
          <w:i w:val="0"/>
          <w:iCs w:val="0"/>
          <w:caps w:val="0"/>
          <w:color w:val="auto"/>
          <w:spacing w:val="0"/>
          <w:kern w:val="2"/>
          <w:sz w:val="21"/>
          <w:szCs w:val="24"/>
          <w:u w:val="none"/>
          <w:shd w:val="clear"/>
          <w:lang w:eastAsia="zh-CN" w:bidi="ar-SA"/>
        </w:rPr>
        <w:t>，</w:t>
      </w:r>
      <w:r>
        <w:rPr>
          <w:rFonts w:hint="eastAsia" w:ascii="Times New Roman" w:hAnsi="Times New Roman" w:eastAsia="宋体" w:cs="Times New Roman"/>
          <w:i w:val="0"/>
          <w:iCs w:val="0"/>
          <w:caps w:val="0"/>
          <w:color w:val="auto"/>
          <w:spacing w:val="0"/>
          <w:kern w:val="2"/>
          <w:sz w:val="21"/>
          <w:szCs w:val="24"/>
          <w:u w:val="none"/>
          <w:shd w:val="clear"/>
          <w:lang w:bidi="ar-SA"/>
        </w:rPr>
        <w:t>医师</w:t>
      </w:r>
      <w:r>
        <w:rPr>
          <w:rFonts w:hint="eastAsia" w:cs="Times New Roman"/>
          <w:i w:val="0"/>
          <w:iCs w:val="0"/>
          <w:caps w:val="0"/>
          <w:color w:val="auto"/>
          <w:spacing w:val="0"/>
          <w:kern w:val="2"/>
          <w:sz w:val="21"/>
          <w:szCs w:val="24"/>
          <w:u w:val="none"/>
          <w:shd w:val="clear"/>
          <w:lang w:val="en-US" w:eastAsia="zh-CN" w:bidi="ar-SA"/>
        </w:rPr>
        <w:t>职称的人数</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ascii="黑体" w:eastAsia="黑体" w:cs="黑体"/>
          <w:color w:val="auto"/>
        </w:rPr>
        <w:t xml:space="preserve">卫生技术人员  </w:t>
      </w:r>
      <w:r>
        <w:rPr>
          <w:rFonts w:hint="eastAsia"/>
          <w:color w:val="auto"/>
        </w:rPr>
        <w:t>包括执业医师、 执业助理医师、注册护士、药师(士)、检验技师(士)、影像技师、卫生监督员、见习医(药、护、技)师(士)等医疗卫生专业人员。不包括从事管理工作的卫生技术人员(如院长、副院长、党委书记等）</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color w:val="auto"/>
        </w:rPr>
      </w:pPr>
      <w:r>
        <w:rPr>
          <w:rFonts w:hint="eastAsia" w:ascii="黑体" w:eastAsia="黑体" w:cs="黑体"/>
          <w:color w:val="auto"/>
        </w:rPr>
        <w:t xml:space="preserve">经营管理人员 </w:t>
      </w:r>
      <w:r>
        <w:rPr>
          <w:rFonts w:hint="eastAsia"/>
          <w:color w:val="auto"/>
        </w:rPr>
        <w:t>指不担任医疗卫生职务，具有行政管理、财务会计、客服销售等职能的从业人员。</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color w:val="auto"/>
        </w:rPr>
      </w:pPr>
      <w:r>
        <w:rPr>
          <w:rFonts w:hint="eastAsia" w:ascii="黑体" w:eastAsia="黑体" w:cs="黑体"/>
          <w:color w:val="auto"/>
        </w:rPr>
        <w:t>其他技术人员</w:t>
      </w:r>
      <w:r>
        <w:rPr>
          <w:rFonts w:hint="eastAsia"/>
          <w:color w:val="auto"/>
        </w:rPr>
        <w:t xml:space="preserve"> 指从事土木工程建筑、电子信息技术、水电修理工等类别专项技术人员。</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color w:val="auto"/>
        </w:rPr>
      </w:pPr>
      <w:r>
        <w:rPr>
          <w:rFonts w:hint="eastAsia" w:ascii="黑体" w:eastAsia="黑体" w:cs="黑体"/>
          <w:color w:val="auto"/>
        </w:rPr>
        <w:t>工勤技能人员</w:t>
      </w:r>
      <w:r>
        <w:rPr>
          <w:rFonts w:hint="eastAsia"/>
          <w:color w:val="auto"/>
        </w:rPr>
        <w:t xml:space="preserve"> 指专职、保安、保洁、厨师、司机等后勤保障人员。</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ascii="宋体"/>
          <w:color w:val="auto"/>
          <w:szCs w:val="21"/>
        </w:rPr>
      </w:pPr>
      <w:r>
        <w:rPr>
          <w:rFonts w:hint="eastAsia" w:ascii="宋体"/>
          <w:b/>
          <w:color w:val="auto"/>
          <w:szCs w:val="21"/>
        </w:rPr>
        <w:t xml:space="preserve">博士生学历  </w:t>
      </w:r>
      <w:r>
        <w:rPr>
          <w:rFonts w:hint="eastAsia" w:ascii="宋体"/>
          <w:color w:val="auto"/>
          <w:szCs w:val="21"/>
        </w:rPr>
        <w:t>指接受的最高一级教育为博士研究生并取得毕业证书的人员，不包括肄业、在读或辍学人员。</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ascii="宋体"/>
          <w:color w:val="auto"/>
          <w:szCs w:val="21"/>
        </w:rPr>
      </w:pPr>
      <w:r>
        <w:rPr>
          <w:rFonts w:hint="eastAsia" w:ascii="宋体"/>
          <w:b/>
          <w:color w:val="auto"/>
          <w:szCs w:val="21"/>
        </w:rPr>
        <w:t xml:space="preserve">研究生学历  </w:t>
      </w:r>
      <w:r>
        <w:rPr>
          <w:rFonts w:hint="eastAsia" w:ascii="宋体"/>
          <w:color w:val="auto"/>
          <w:szCs w:val="21"/>
        </w:rPr>
        <w:t>指接受的最高一级教育为硕士研究生并取得毕业证书的人员，不包括肄业、在读或辍学人员。</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ascii="宋体"/>
          <w:color w:val="auto"/>
          <w:szCs w:val="21"/>
        </w:rPr>
      </w:pPr>
      <w:r>
        <w:rPr>
          <w:rFonts w:hint="eastAsia" w:ascii="宋体"/>
          <w:b/>
          <w:color w:val="auto"/>
          <w:szCs w:val="21"/>
        </w:rPr>
        <w:t xml:space="preserve">大学本科学历  </w:t>
      </w:r>
      <w:r>
        <w:rPr>
          <w:rFonts w:hint="eastAsia" w:ascii="宋体"/>
          <w:color w:val="auto"/>
          <w:szCs w:val="21"/>
        </w:rPr>
        <w:t>指接受的最高一级教育为大学本科并取得毕业证书的人员，不包括肄业、在读或辍学人员。</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ascii="宋体"/>
          <w:color w:val="auto"/>
          <w:szCs w:val="21"/>
        </w:rPr>
      </w:pPr>
      <w:r>
        <w:rPr>
          <w:rFonts w:hint="eastAsia" w:ascii="宋体"/>
          <w:b/>
          <w:color w:val="auto"/>
          <w:szCs w:val="21"/>
        </w:rPr>
        <w:t xml:space="preserve">大学专科学历  </w:t>
      </w:r>
      <w:r>
        <w:rPr>
          <w:rFonts w:hint="eastAsia" w:ascii="宋体"/>
          <w:color w:val="auto"/>
          <w:szCs w:val="21"/>
        </w:rPr>
        <w:t>指接受的最高一级教育为大学专科并取得毕业证书的人员，不包括肄业、在读或辍学人员。</w:t>
      </w:r>
    </w:p>
    <w:p>
      <w:pPr>
        <w:keepNext w:val="0"/>
        <w:keepLines w:val="0"/>
        <w:pageBreakBefore w:val="0"/>
        <w:kinsoku/>
        <w:wordWrap/>
        <w:overflowPunct/>
        <w:topLinePunct w:val="0"/>
        <w:autoSpaceDE/>
        <w:autoSpaceDN/>
        <w:bidi w:val="0"/>
        <w:adjustRightInd/>
        <w:snapToGrid/>
        <w:spacing w:line="400" w:lineRule="exact"/>
        <w:ind w:firstLine="421" w:firstLineChars="200"/>
        <w:textAlignment w:val="auto"/>
        <w:rPr>
          <w:rFonts w:hint="eastAsia" w:ascii="宋体"/>
          <w:color w:val="auto"/>
          <w:szCs w:val="21"/>
        </w:rPr>
      </w:pPr>
      <w:r>
        <w:rPr>
          <w:rFonts w:hint="eastAsia" w:ascii="宋体"/>
          <w:b/>
          <w:color w:val="auto"/>
          <w:szCs w:val="21"/>
        </w:rPr>
        <w:t xml:space="preserve">中专及以下学历  </w:t>
      </w:r>
      <w:r>
        <w:rPr>
          <w:rFonts w:hint="eastAsia" w:ascii="宋体"/>
          <w:color w:val="auto"/>
          <w:szCs w:val="21"/>
        </w:rPr>
        <w:t>指接受的最高一级教育为中专、普通高中、职业高中、技工学校、成人高中、成人中专及以下的人员。</w:t>
      </w:r>
    </w:p>
    <w:p>
      <w:pPr>
        <w:pStyle w:val="3"/>
        <w:keepNext w:val="0"/>
        <w:keepLines w:val="0"/>
        <w:pageBreakBefore w:val="0"/>
        <w:kinsoku/>
        <w:wordWrap/>
        <w:overflowPunct/>
        <w:topLinePunct w:val="0"/>
        <w:autoSpaceDE/>
        <w:autoSpaceDN/>
        <w:bidi w:val="0"/>
        <w:adjustRightInd/>
        <w:snapToGrid/>
        <w:spacing w:line="400" w:lineRule="exact"/>
        <w:ind w:firstLineChars="200"/>
        <w:textAlignment w:val="auto"/>
      </w:pPr>
      <w:r>
        <w:rPr>
          <w:rFonts w:hint="default" w:ascii="宋体"/>
          <w:b/>
          <w:bCs/>
          <w:color w:val="auto"/>
          <w:szCs w:val="21"/>
          <w:highlight w:val="none"/>
        </w:rPr>
        <w:t>农民工</w:t>
      </w:r>
      <w:r>
        <w:rPr>
          <w:rFonts w:hint="eastAsia" w:ascii="宋体"/>
          <w:b/>
          <w:bCs/>
          <w:color w:val="auto"/>
          <w:szCs w:val="21"/>
          <w:highlight w:val="none"/>
          <w:lang w:val="en-US" w:eastAsia="zh-CN"/>
        </w:rPr>
        <w:t xml:space="preserve"> </w:t>
      </w:r>
      <w:r>
        <w:rPr>
          <w:rFonts w:hint="eastAsia" w:ascii="宋体"/>
          <w:color w:val="auto"/>
          <w:szCs w:val="21"/>
          <w:highlight w:val="none"/>
          <w:lang w:val="en-US" w:eastAsia="zh-CN"/>
        </w:rPr>
        <w:t xml:space="preserve">  </w:t>
      </w:r>
      <w:r>
        <w:rPr>
          <w:rFonts w:hint="eastAsia" w:ascii="宋体" w:hAnsi="Times New Roman" w:eastAsia="宋体"/>
          <w:b w:val="0"/>
          <w:color w:val="auto"/>
          <w:szCs w:val="21"/>
          <w:highlight w:val="none"/>
          <w:lang w:val="en-US" w:eastAsia="zh-CN"/>
        </w:rPr>
        <w:t>指户籍在农村的务工群体、从事非农工作的一线工</w:t>
      </w:r>
      <w:r>
        <w:rPr>
          <w:rFonts w:hint="eastAsia" w:ascii="宋体"/>
          <w:b w:val="0"/>
          <w:color w:val="auto"/>
          <w:szCs w:val="21"/>
          <w:highlight w:val="none"/>
          <w:lang w:val="en-US" w:eastAsia="zh-CN"/>
        </w:rPr>
        <w:t>人</w:t>
      </w:r>
      <w:r>
        <w:rPr>
          <w:rFonts w:hint="eastAsia"/>
        </w:rPr>
        <w:t>。</w:t>
      </w:r>
    </w:p>
    <w:p>
      <w:pPr>
        <w:pStyle w:val="3"/>
        <w:spacing w:line="460" w:lineRule="exact"/>
        <w:ind w:firstLineChars="200"/>
      </w:pPr>
    </w:p>
    <w:p>
      <w:pPr>
        <w:pStyle w:val="3"/>
        <w:ind w:firstLine="0"/>
        <w:jc w:val="center"/>
        <w:rPr>
          <w:rFonts w:ascii="宋体" w:hAnsi="Calibri Light"/>
          <w:bCs/>
          <w:color w:val="000000"/>
          <w:sz w:val="32"/>
          <w:szCs w:val="32"/>
        </w:rPr>
      </w:pPr>
      <w:r>
        <w:rPr>
          <w:rFonts w:hint="eastAsia" w:ascii="宋体" w:hAnsi="Calibri Light"/>
          <w:bCs/>
          <w:color w:val="000000"/>
          <w:sz w:val="32"/>
          <w:szCs w:val="32"/>
        </w:rPr>
        <w:t>企业经营情况</w:t>
      </w:r>
    </w:p>
    <w:p>
      <w:pPr>
        <w:adjustRightInd w:val="0"/>
        <w:snapToGrid w:val="0"/>
        <w:spacing w:line="400" w:lineRule="exact"/>
        <w:ind w:firstLine="420" w:firstLineChars="200"/>
        <w:rPr>
          <w:rFonts w:ascii="宋体" w:cs="宋体"/>
          <w:color w:val="auto"/>
          <w:szCs w:val="21"/>
        </w:rPr>
      </w:pPr>
      <w:r>
        <w:rPr>
          <w:rFonts w:hint="eastAsia" w:ascii="黑体" w:eastAsia="黑体" w:cs="黑体"/>
          <w:color w:val="auto"/>
          <w:szCs w:val="21"/>
        </w:rPr>
        <w:t xml:space="preserve">资产总计  </w:t>
      </w:r>
      <w:r>
        <w:rPr>
          <w:rFonts w:hint="eastAsia" w:ascii="宋体" w:cs="宋体"/>
          <w:color w:val="auto"/>
          <w:szCs w:val="21"/>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根据会计“资产负债表”中“资产总计”项目的期末余额数填报。</w:t>
      </w:r>
    </w:p>
    <w:p>
      <w:pPr>
        <w:adjustRightInd w:val="0"/>
        <w:snapToGrid w:val="0"/>
        <w:spacing w:line="400" w:lineRule="exact"/>
        <w:ind w:firstLine="420" w:firstLineChars="200"/>
        <w:rPr>
          <w:rFonts w:ascii="宋体" w:cs="宋体"/>
          <w:color w:val="auto"/>
          <w:szCs w:val="21"/>
        </w:rPr>
      </w:pPr>
      <w:r>
        <w:rPr>
          <w:rFonts w:hint="eastAsia" w:ascii="黑体" w:eastAsia="黑体" w:cs="黑体"/>
          <w:color w:val="auto"/>
          <w:szCs w:val="21"/>
        </w:rPr>
        <w:t xml:space="preserve">营业收入  </w:t>
      </w:r>
      <w:r>
        <w:rPr>
          <w:rFonts w:hint="eastAsia" w:ascii="宋体" w:cs="宋体"/>
          <w:color w:val="auto"/>
          <w:szCs w:val="21"/>
        </w:rPr>
        <w:t>指企业从事销售商品、提供劳务和让渡资产使用权等生产经营活动形成的经济利益流入。包括“主营业务收入”和“其他业务收入”。根据会计“利润表”中“营业收入”项目的本年累计数填报。</w:t>
      </w:r>
    </w:p>
    <w:p>
      <w:pPr>
        <w:adjustRightInd w:val="0"/>
        <w:snapToGrid w:val="0"/>
        <w:spacing w:line="400" w:lineRule="exact"/>
        <w:ind w:firstLine="420" w:firstLineChars="200"/>
        <w:rPr>
          <w:rFonts w:ascii="宋体"/>
          <w:color w:val="auto"/>
          <w:szCs w:val="21"/>
        </w:rPr>
      </w:pPr>
      <w:r>
        <w:rPr>
          <w:rFonts w:hint="eastAsia" w:ascii="黑体" w:eastAsia="黑体" w:cs="黑体"/>
          <w:color w:val="auto"/>
          <w:szCs w:val="21"/>
        </w:rPr>
        <w:t xml:space="preserve">营业成本  </w:t>
      </w:r>
      <w:r>
        <w:rPr>
          <w:rFonts w:hint="eastAsia" w:ascii="宋体" w:cs="宋体"/>
          <w:color w:val="auto"/>
          <w:szCs w:val="21"/>
        </w:rPr>
        <w:t>指企业从事销售商品、提供劳务和让渡资产使用权等生产经营活动发生的实际成本。“营业成本”应当与“营业收入”进行配比。包括“主营业务成本”和“其他业务成本”。根据会计“利润表”中“营业成本”项目的本年累计数填报。</w:t>
      </w:r>
    </w:p>
    <w:p>
      <w:pPr>
        <w:adjustRightInd w:val="0"/>
        <w:snapToGrid w:val="0"/>
        <w:spacing w:line="400" w:lineRule="exact"/>
        <w:ind w:firstLine="420" w:firstLineChars="200"/>
        <w:rPr>
          <w:rFonts w:hint="eastAsia" w:ascii="宋体" w:cs="宋体"/>
          <w:color w:val="auto"/>
          <w:szCs w:val="20"/>
        </w:rPr>
      </w:pPr>
      <w:r>
        <w:rPr>
          <w:rFonts w:hint="eastAsia" w:ascii="黑体" w:eastAsia="黑体" w:cs="黑体"/>
          <w:color w:val="auto"/>
          <w:szCs w:val="21"/>
        </w:rPr>
        <w:t xml:space="preserve">利润总额  </w:t>
      </w:r>
      <w:r>
        <w:rPr>
          <w:rFonts w:hint="eastAsia" w:ascii="宋体" w:cs="宋体"/>
          <w:color w:val="auto"/>
          <w:szCs w:val="20"/>
        </w:rPr>
        <w:t>指企业在一定会计期间的经营成果，是生产经营过程中各种收入扣除各种耗费后的盈余，反映企业在报告期内实现的盈亏总额。利润总额为营业利润加上营业外收入，减去营业外支出后的金额，根据会计“利润表”中“利润总额”项目的本年累计数填报。</w:t>
      </w:r>
    </w:p>
    <w:p>
      <w:pPr>
        <w:adjustRightInd w:val="0"/>
        <w:snapToGrid w:val="0"/>
        <w:spacing w:line="400" w:lineRule="exact"/>
        <w:ind w:firstLine="420" w:firstLineChars="200"/>
        <w:rPr>
          <w:rFonts w:ascii="宋体" w:cs="宋体"/>
          <w:color w:val="auto"/>
          <w:szCs w:val="20"/>
        </w:rPr>
      </w:pPr>
      <w:r>
        <w:rPr>
          <w:rFonts w:hint="eastAsia" w:ascii="黑体" w:eastAsia="黑体" w:cs="黑体"/>
          <w:color w:val="auto"/>
          <w:shd w:val="clear" w:color="auto" w:fill="FFFFFF"/>
        </w:rPr>
        <w:t>纳税总额</w:t>
      </w:r>
      <w:r>
        <w:rPr>
          <w:rFonts w:hint="eastAsia" w:ascii="微软雅黑" w:eastAsia="微软雅黑"/>
          <w:color w:val="auto"/>
          <w:shd w:val="clear" w:color="auto" w:fill="FFFFFF"/>
        </w:rPr>
        <w:t xml:space="preserve">  </w:t>
      </w:r>
      <w:r>
        <w:rPr>
          <w:rFonts w:hint="eastAsia" w:ascii="宋体" w:cs="宋体"/>
          <w:color w:val="auto"/>
          <w:szCs w:val="20"/>
        </w:rPr>
        <w:t>指企业在报告期内实际交纳的所有税金之和，包括增值税、消费税、城建税、房产税、土地使用税、车船使用税、企业和个人所得税、印花税等。</w:t>
      </w:r>
    </w:p>
    <w:p>
      <w:pPr>
        <w:spacing w:line="400" w:lineRule="exact"/>
        <w:ind w:firstLine="421" w:firstLineChars="200"/>
        <w:rPr>
          <w:rFonts w:ascii="宋体" w:cs="宋体"/>
          <w:color w:val="auto"/>
          <w:szCs w:val="20"/>
        </w:rPr>
      </w:pPr>
      <w:r>
        <w:rPr>
          <w:rFonts w:hint="eastAsia" w:ascii="宋体"/>
          <w:b/>
          <w:color w:val="auto"/>
          <w:szCs w:val="21"/>
        </w:rPr>
        <w:t>应付职工薪酬（本期贷方累计发生额）</w:t>
      </w:r>
      <w:r>
        <w:rPr>
          <w:rFonts w:hint="eastAsia" w:ascii="宋体" w:cs="宋体"/>
          <w:color w:val="auto"/>
          <w:szCs w:val="20"/>
        </w:rPr>
        <w:t>指企业为获得职工提供的服务或解除劳动关系而给予的各种形式的报酬或补偿。包括职工工资、奖金、津贴和补贴，职工福利费，医疗保险费、养老保险费、失业保险费、工伤保险费和生育保险费等社会保险费，住房公积金，工会经费和职工教育经费，带薪缺勤，利润分享计划，非货币性福利，辞退福利和其他为获得职工提供的服务而给予的报酬或补偿。其中，社会保险和住房公积金应包括单位和个人负担部分。</w:t>
      </w:r>
    </w:p>
    <w:p>
      <w:pPr>
        <w:spacing w:line="400" w:lineRule="exact"/>
        <w:ind w:firstLine="420" w:firstLineChars="200"/>
        <w:rPr>
          <w:rFonts w:ascii="宋体" w:cs="宋体"/>
          <w:color w:val="auto"/>
          <w:szCs w:val="20"/>
        </w:rPr>
      </w:pPr>
      <w:r>
        <w:rPr>
          <w:rFonts w:hint="eastAsia" w:ascii="宋体" w:cs="宋体"/>
          <w:color w:val="auto"/>
          <w:szCs w:val="20"/>
        </w:rPr>
        <w:t>“应付职工薪酬”应包含“劳务派遣人员薪酬”。如果企业没有劳务派遣人员或“应付职工薪酬”会计科目核算范围已包含“劳务派遣人员薪酬”，但不设置明细科目单独核算，而是按类别拆分，分别计入“应付职工薪酬”会计科目下的工资、奖金、津贴和补贴、福利费等明细科目，执行企业会计准则或《小企业会计准则》的企业，根据财务报告“应付职工薪酬列示”合计项本期增加额，或会计“应付职工薪酬”科目本期贷方累计发生额填报；执行其他企业会计制度的企业或“应付职工薪酬”科目内容与统计口径不一致的，需按统计口径归并填报。如果企业“应付职工薪酬”会计科目的核算范围不包含“劳务派遣人员薪酬”，则应加“劳务派遣人员薪酬”后填报“应付职工薪酬”统计指标。“劳务派遣人员薪酬”不含因使用劳务派遣人员而支付的管理费用和其他用工成本。</w:t>
      </w:r>
    </w:p>
    <w:p>
      <w:pPr>
        <w:pStyle w:val="3"/>
        <w:spacing w:line="460" w:lineRule="exact"/>
        <w:ind w:firstLineChars="200"/>
      </w:pPr>
      <w:r>
        <w:rPr>
          <w:rFonts w:hint="eastAsia" w:ascii="宋体" w:cs="宋体"/>
          <w:color w:val="auto"/>
          <w:szCs w:val="20"/>
        </w:rPr>
        <w:t>无论用工单位是否直接支付劳动报酬，“劳务派遣人员薪酬”均由实际用工法人单位（派遣人员使用方）填报，而劳务派遣单位（派遣人员派出方）不填报。劳务外包人员薪酬由劳务承包法人单位（外包人员派出方）填报，劳务发包法人单位（外包人员使用方）不填报</w:t>
      </w:r>
      <w:r>
        <w:rPr>
          <w:rFonts w:hint="eastAsia"/>
        </w:rPr>
        <w:t>。</w:t>
      </w:r>
    </w:p>
    <w:p>
      <w:pPr>
        <w:pStyle w:val="3"/>
        <w:spacing w:line="460" w:lineRule="exact"/>
        <w:ind w:firstLineChars="200"/>
      </w:pPr>
    </w:p>
    <w:sectPr>
      <w:footerReference r:id="rId7" w:type="default"/>
      <w:pgSz w:w="11906" w:h="16838"/>
      <w:pgMar w:top="1440" w:right="1080" w:bottom="1440" w:left="108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posOffset>5380990</wp:posOffset>
              </wp:positionH>
              <wp:positionV relativeFrom="paragraph">
                <wp:posOffset>-153035</wp:posOffset>
              </wp:positionV>
              <wp:extent cx="662305" cy="2133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62305" cy="213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- 1 -</w:t>
                          </w:r>
                          <w:r>
                            <w:rPr>
                              <w:rFonts w:hint="eastAsia" w:asciiTheme="minorEastAsia" w:hAnsiTheme="minorEastAsia" w:eastAsiaTheme="minorEastAsia" w:cstheme="minorEastAsia"/>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23.7pt;margin-top:-12.05pt;height:16.8pt;width:52.15pt;mso-position-horizontal-relative:margin;z-index:251660288;mso-width-relative:page;mso-height-relative:page;" filled="f" stroked="f" coordsize="21600,21600" o:gfxdata="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rDm1oNkAAAAJAQAADwAAAAAAAAABACAA&#10;AAA4AAAAZHJzL2Rvd25yZXYueG1sUEsBAhQAFAAAAAgAh07iQKlqp3YvAgAAVQQAAA4AAAAAAAAA&#10;AQAgAAAAPgEAAGRycy9lMm9Eb2MueG1sUEsFBgAAAAAGAAYAWQEAAN8FAAAAAA==&#10;">
              <v:fill on="f" focussize="0,0"/>
              <v:stroke on="f" weight="0.5pt"/>
              <v:imagedata o:title=""/>
              <o:lock v:ext="edit" aspectratio="f"/>
              <v:textbox inset="0mm,0mm,0mm,0mm">
                <w:txbxContent>
                  <w:p>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- 1 -</w:t>
                    </w:r>
                    <w:r>
                      <w:rPr>
                        <w:rFonts w:hint="eastAsia" w:asciiTheme="minorEastAsia" w:hAnsiTheme="minorEastAsia" w:eastAsiaTheme="minorEastAsia" w:cstheme="minorEastAsia"/>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pPr>
    <w:r>
      <w:rPr>
        <w:rFonts w:hint="eastAsia"/>
      </w:rPr>
      <w:t>海南博鳌乐城国际医疗旅游先行区海外就医回流统计监测制度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pBdr>
        <w:bottom w:val="none" w:color="auto" w:sz="0" w:space="0"/>
      </w:pBdr>
      <w:rPr>
        <w:rStyle w:val="13"/>
      </w:rPr>
    </w:pPr>
    <w:r>
      <w:fldChar w:fldCharType="begin"/>
    </w:r>
    <w:r>
      <w:rPr>
        <w:rStyle w:val="13"/>
      </w:rPr>
      <w:instrText xml:space="preserve">PAGE  </w:instrText>
    </w:r>
    <w:r>
      <w:fldChar w:fldCharType="separate"/>
    </w:r>
    <w:r>
      <w:rPr>
        <w:rStyle w:val="13"/>
      </w:rPr>
      <w:t>- 12 -</w:t>
    </w:r>
    <w:r>
      <w:fldChar w:fldCharType="end"/>
    </w:r>
  </w:p>
  <w:p>
    <w:pPr>
      <w:pStyle w:val="6"/>
      <w:pBdr>
        <w:bottom w:val="single" w:color="auto" w:sz="4" w:space="0"/>
      </w:pBdr>
    </w:pPr>
    <w:r>
      <w:rPr>
        <w:rFonts w:hint="eastAsia"/>
      </w:rPr>
      <w:t>海南博鳌乐城国际医疗旅游先行区海外就医回流统计监测制度(试行)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Bdr>
                              <w:bottom w:val="none" w:color="auto" w:sz="0" w:space="0"/>
                            </w:pBdr>
                            <w:rPr>
                              <w:rStyle w:val="13"/>
                            </w:rPr>
                          </w:pPr>
                          <w:r>
                            <w:fldChar w:fldCharType="begin"/>
                          </w:r>
                          <w:r>
                            <w:rPr>
                              <w:rStyle w:val="13"/>
                            </w:rPr>
                            <w:instrText xml:space="preserve">PAGE  </w:instrText>
                          </w:r>
                          <w:r>
                            <w:fldChar w:fldCharType="separate"/>
                          </w:r>
                          <w:r>
                            <w:rPr>
                              <w:rStyle w:val="13"/>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6"/>
                      <w:pBdr>
                        <w:bottom w:val="none" w:color="auto" w:sz="0" w:space="0"/>
                      </w:pBdr>
                      <w:rPr>
                        <w:rStyle w:val="13"/>
                      </w:rPr>
                    </w:pPr>
                    <w:r>
                      <w:fldChar w:fldCharType="begin"/>
                    </w:r>
                    <w:r>
                      <w:rPr>
                        <w:rStyle w:val="13"/>
                      </w:rPr>
                      <w:instrText xml:space="preserve">PAGE  </w:instrText>
                    </w:r>
                    <w:r>
                      <w:fldChar w:fldCharType="separate"/>
                    </w:r>
                    <w:r>
                      <w:rPr>
                        <w:rStyle w:val="13"/>
                      </w:rPr>
                      <w:t>1</w:t>
                    </w:r>
                    <w:r>
                      <w:fldChar w:fldCharType="end"/>
                    </w:r>
                  </w:p>
                </w:txbxContent>
              </v:textbox>
            </v:shape>
          </w:pict>
        </mc:Fallback>
      </mc:AlternateContent>
    </w:r>
    <w:r>
      <w:rPr>
        <w:rFonts w:hint="eastAsia"/>
      </w:rPr>
      <w:t>海南博鳌乐城国际医疗旅游先行区海外就医回流统计监测制度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2"/>
    <w:multiLevelType w:val="multilevel"/>
    <w:tmpl w:val="00000022"/>
    <w:lvl w:ilvl="0" w:tentative="0">
      <w:start w:val="1"/>
      <w:numFmt w:val="decimal"/>
      <w:lvlText w:val="第%1章"/>
      <w:lvlJc w:val="left"/>
      <w:pPr>
        <w:ind w:left="4111" w:hanging="425"/>
      </w:pPr>
      <w:rPr>
        <w:rFonts w:hint="eastAsia" w:ascii="宋体" w:hAnsi="宋体" w:eastAsia="宋体"/>
        <w:b/>
        <w:i w:val="0"/>
        <w:sz w:val="36"/>
        <w:szCs w:val="32"/>
      </w:rPr>
    </w:lvl>
    <w:lvl w:ilvl="1" w:tentative="0">
      <w:start w:val="1"/>
      <w:numFmt w:val="decimal"/>
      <w:lvlText w:val="%2."/>
      <w:lvlJc w:val="left"/>
      <w:pPr>
        <w:ind w:left="4253" w:hanging="567"/>
      </w:pPr>
      <w:rPr>
        <w:rFonts w:hint="default" w:ascii="Times New Roman" w:hAnsi="Times New Roman" w:eastAsia="宋体"/>
        <w:b/>
        <w:i w:val="0"/>
        <w:color w:val="auto"/>
        <w:sz w:val="28"/>
        <w:szCs w:val="28"/>
      </w:rPr>
    </w:lvl>
    <w:lvl w:ilvl="2" w:tentative="0">
      <w:start w:val="1"/>
      <w:numFmt w:val="none"/>
      <w:suff w:val="space"/>
      <w:lvlText w:val="2.1"/>
      <w:lvlJc w:val="left"/>
      <w:pPr>
        <w:ind w:left="4253" w:hanging="567"/>
      </w:pPr>
      <w:rPr>
        <w:rFonts w:hint="default" w:ascii="Times New Roman" w:hAnsi="Times New Roman" w:cs="Times New Roman"/>
        <w:b/>
        <w:i w:val="0"/>
        <w:sz w:val="24"/>
        <w:szCs w:val="24"/>
      </w:rPr>
    </w:lvl>
    <w:lvl w:ilvl="3" w:tentative="0">
      <w:start w:val="1"/>
      <w:numFmt w:val="decimal"/>
      <w:suff w:val="nothing"/>
      <w:lvlText w:val="%1.%2.%3.%4"/>
      <w:lvlJc w:val="left"/>
      <w:pPr>
        <w:ind w:left="5103" w:hanging="708"/>
      </w:pPr>
      <w:rPr>
        <w:rFonts w:hint="default" w:ascii="Times New Roman" w:hAnsi="Times New Roman" w:eastAsia="宋体" w:cs="Calibri"/>
        <w:b/>
        <w:sz w:val="24"/>
        <w:szCs w:val="28"/>
      </w:rPr>
    </w:lvl>
    <w:lvl w:ilvl="4" w:tentative="0">
      <w:start w:val="1"/>
      <w:numFmt w:val="decimal"/>
      <w:pStyle w:val="15"/>
      <w:lvlText w:val="%1.%2.%3.%4.%5"/>
      <w:lvlJc w:val="left"/>
      <w:pPr>
        <w:ind w:left="5953" w:hanging="850"/>
      </w:pPr>
      <w:rPr>
        <w:rFonts w:hint="default" w:ascii="Times New Roman" w:hAnsi="Times New Roman" w:cs="Times New Roman"/>
      </w:rPr>
    </w:lvl>
    <w:lvl w:ilvl="5" w:tentative="0">
      <w:start w:val="1"/>
      <w:numFmt w:val="decimal"/>
      <w:lvlText w:val="%1.%2.%3.%4.%5.%6"/>
      <w:lvlJc w:val="left"/>
      <w:pPr>
        <w:ind w:left="6662" w:hanging="1134"/>
      </w:pPr>
      <w:rPr>
        <w:rFonts w:hint="eastAsia"/>
      </w:rPr>
    </w:lvl>
    <w:lvl w:ilvl="6" w:tentative="0">
      <w:start w:val="1"/>
      <w:numFmt w:val="decimal"/>
      <w:lvlText w:val="%1.%2.%3.%4.%5.%6.%7"/>
      <w:lvlJc w:val="left"/>
      <w:pPr>
        <w:ind w:left="7229" w:hanging="1276"/>
      </w:pPr>
      <w:rPr>
        <w:rFonts w:hint="eastAsia"/>
      </w:rPr>
    </w:lvl>
    <w:lvl w:ilvl="7" w:tentative="0">
      <w:start w:val="1"/>
      <w:numFmt w:val="decimal"/>
      <w:lvlText w:val="%1.%2.%3.%4.%5.%6.%7.%8"/>
      <w:lvlJc w:val="left"/>
      <w:pPr>
        <w:ind w:left="7796" w:hanging="1418"/>
      </w:pPr>
      <w:rPr>
        <w:rFonts w:hint="eastAsia"/>
      </w:rPr>
    </w:lvl>
    <w:lvl w:ilvl="8" w:tentative="0">
      <w:start w:val="1"/>
      <w:numFmt w:val="decimal"/>
      <w:lvlText w:val="%1.%2.%3.%4.%5.%6.%7.%8.%9"/>
      <w:lvlJc w:val="left"/>
      <w:pPr>
        <w:ind w:left="8504"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D5783"/>
    <w:rsid w:val="001F2F34"/>
    <w:rsid w:val="00573097"/>
    <w:rsid w:val="00BE6CC5"/>
    <w:rsid w:val="00C70BC6"/>
    <w:rsid w:val="01B666C0"/>
    <w:rsid w:val="02B976C4"/>
    <w:rsid w:val="02CD3CC1"/>
    <w:rsid w:val="038500F8"/>
    <w:rsid w:val="04602B3A"/>
    <w:rsid w:val="04A3117E"/>
    <w:rsid w:val="059720F1"/>
    <w:rsid w:val="09697100"/>
    <w:rsid w:val="0AFB3D8D"/>
    <w:rsid w:val="0B1A3A0F"/>
    <w:rsid w:val="0BC419DA"/>
    <w:rsid w:val="0F242EBB"/>
    <w:rsid w:val="0F3F1AA3"/>
    <w:rsid w:val="0FA27567"/>
    <w:rsid w:val="11ED5783"/>
    <w:rsid w:val="121A67F7"/>
    <w:rsid w:val="128679E9"/>
    <w:rsid w:val="12EF37E0"/>
    <w:rsid w:val="12FE59B8"/>
    <w:rsid w:val="14924895"/>
    <w:rsid w:val="15EC332B"/>
    <w:rsid w:val="16CA07EC"/>
    <w:rsid w:val="1821268E"/>
    <w:rsid w:val="1A757F99"/>
    <w:rsid w:val="1C4E1577"/>
    <w:rsid w:val="1DA1252F"/>
    <w:rsid w:val="1F0478EC"/>
    <w:rsid w:val="22C6356A"/>
    <w:rsid w:val="24497D13"/>
    <w:rsid w:val="27D22B63"/>
    <w:rsid w:val="284D0F04"/>
    <w:rsid w:val="29A0737A"/>
    <w:rsid w:val="2CAB0320"/>
    <w:rsid w:val="2E53738F"/>
    <w:rsid w:val="2FC6542F"/>
    <w:rsid w:val="30D53BBD"/>
    <w:rsid w:val="31E06CBE"/>
    <w:rsid w:val="32F275D5"/>
    <w:rsid w:val="33D17932"/>
    <w:rsid w:val="36957A22"/>
    <w:rsid w:val="370E607B"/>
    <w:rsid w:val="38547ABE"/>
    <w:rsid w:val="38575800"/>
    <w:rsid w:val="39306B0B"/>
    <w:rsid w:val="3A612D1D"/>
    <w:rsid w:val="3A683CF4"/>
    <w:rsid w:val="3BDF203E"/>
    <w:rsid w:val="3C3B7178"/>
    <w:rsid w:val="3D2A59F7"/>
    <w:rsid w:val="3DF42DCE"/>
    <w:rsid w:val="3EF34B44"/>
    <w:rsid w:val="41A34A4D"/>
    <w:rsid w:val="41C62546"/>
    <w:rsid w:val="44655746"/>
    <w:rsid w:val="44A36ED5"/>
    <w:rsid w:val="45C36283"/>
    <w:rsid w:val="460615EF"/>
    <w:rsid w:val="465D2233"/>
    <w:rsid w:val="470B3023"/>
    <w:rsid w:val="49303C2F"/>
    <w:rsid w:val="498662B1"/>
    <w:rsid w:val="4A791606"/>
    <w:rsid w:val="4B6D21FC"/>
    <w:rsid w:val="4CC21042"/>
    <w:rsid w:val="4F7B197C"/>
    <w:rsid w:val="51ED4DB3"/>
    <w:rsid w:val="53181E52"/>
    <w:rsid w:val="56A874FB"/>
    <w:rsid w:val="57393EAE"/>
    <w:rsid w:val="59E85CF6"/>
    <w:rsid w:val="5E2751A9"/>
    <w:rsid w:val="5ECC3FA2"/>
    <w:rsid w:val="601259E5"/>
    <w:rsid w:val="63DE075F"/>
    <w:rsid w:val="65D35C16"/>
    <w:rsid w:val="68B305D5"/>
    <w:rsid w:val="68FF03FA"/>
    <w:rsid w:val="6AED1528"/>
    <w:rsid w:val="6B8754D9"/>
    <w:rsid w:val="706D677E"/>
    <w:rsid w:val="70FF3D63"/>
    <w:rsid w:val="71687B5B"/>
    <w:rsid w:val="73E13BF4"/>
    <w:rsid w:val="73E330E9"/>
    <w:rsid w:val="74455F31"/>
    <w:rsid w:val="76A72ED3"/>
    <w:rsid w:val="775070C7"/>
    <w:rsid w:val="7BD1454E"/>
    <w:rsid w:val="7E592322"/>
    <w:rsid w:val="7EA45F4A"/>
    <w:rsid w:val="7EB51F05"/>
    <w:rsid w:val="971B6404"/>
    <w:rsid w:val="EABD8287"/>
    <w:rsid w:val="FFF3A6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Calibri Light" w:hAnsi="Calibri Light"/>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Autospacing="1" w:afterAutospacing="1"/>
      <w:jc w:val="left"/>
    </w:pPr>
    <w:rPr>
      <w:kern w:val="0"/>
      <w:sz w:val="24"/>
    </w:rPr>
  </w:style>
  <w:style w:type="paragraph" w:styleId="10">
    <w:name w:val="Body Text First Indent"/>
    <w:basedOn w:val="4"/>
    <w:qFormat/>
    <w:uiPriority w:val="0"/>
    <w:pPr>
      <w:ind w:firstLine="100" w:firstLineChars="100"/>
    </w:pPr>
  </w:style>
  <w:style w:type="character" w:styleId="13">
    <w:name w:val="page number"/>
    <w:qFormat/>
    <w:uiPriority w:val="0"/>
    <w:rPr>
      <w:rFonts w:cs="Times New Roman"/>
      <w:lang w:bidi="ar-SA"/>
    </w:rPr>
  </w:style>
  <w:style w:type="character" w:customStyle="1" w:styleId="14">
    <w:name w:val="font01"/>
    <w:basedOn w:val="12"/>
    <w:qFormat/>
    <w:uiPriority w:val="0"/>
    <w:rPr>
      <w:rFonts w:hint="eastAsia" w:ascii="宋体" w:hAnsi="宋体" w:eastAsia="宋体" w:cs="宋体"/>
      <w:color w:val="000000"/>
      <w:sz w:val="22"/>
      <w:szCs w:val="22"/>
      <w:u w:val="none"/>
    </w:rPr>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Cs w:val="28"/>
    </w:rPr>
  </w:style>
  <w:style w:type="paragraph" w:customStyle="1" w:styleId="16">
    <w:name w:val="正文（绿盟科技）"/>
    <w:qFormat/>
    <w:uiPriority w:val="0"/>
    <w:pPr>
      <w:spacing w:line="300" w:lineRule="auto"/>
    </w:pPr>
    <w:rPr>
      <w:rFonts w:ascii="Arial" w:hAnsi="Arial" w:eastAsia="宋体" w:cs="黑体"/>
      <w:b/>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6777</Words>
  <Characters>7054</Characters>
  <Lines>1</Lines>
  <Paragraphs>1</Paragraphs>
  <TotalTime>5</TotalTime>
  <ScaleCrop>false</ScaleCrop>
  <LinksUpToDate>false</LinksUpToDate>
  <CharactersWithSpaces>7510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2025-08-25T18:20:00Z</dcterms:created>
  <dc:creator>雒灵</dc:creator>
  <cp:lastModifiedBy>greatwall</cp:lastModifiedBy>
  <cp:lastPrinted>2025-08-25T22:40:00Z</cp:lastPrinted>
  <dcterms:modified xsi:type="dcterms:W3CDTF">2025-09-12T12:44:32Z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6CBD2865C3454BFE9F134968C1B559A7_13</vt:lpwstr>
  </property>
  <property fmtid="{D5CDD505-2E9C-101B-9397-08002B2CF9AE}" pid="4" name="KSOTemplateDocerSaveRecord">
    <vt:lpwstr>eyJoZGlkIjoiZGUyNWQwZjY5ODc0MThmOWM4YzlhY2FjYjIxZTMwZTkiLCJ1c2VySWQiOiIxMDc3NjM3NDExIn0=</vt:lpwstr>
  </property>
</Properties>
</file>