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val="0"/>
          <w:bCs w:val="0"/>
          <w:color w:val="000000" w:themeColor="text1"/>
          <w:sz w:val="32"/>
          <w:szCs w:val="32"/>
          <w:highlight w:val="none"/>
          <w:lang w:eastAsia="zh"/>
          <w14:textFill>
            <w14:solidFill>
              <w14:schemeClr w14:val="tx1"/>
            </w14:solidFill>
          </w14:textFill>
        </w:rPr>
      </w:pPr>
      <w:r>
        <w:rPr>
          <w:rFonts w:hint="eastAsia" w:ascii="黑体" w:hAnsi="黑体" w:eastAsia="黑体" w:cs="黑体"/>
          <w:b w:val="0"/>
          <w:bCs w:val="0"/>
          <w:color w:val="000000" w:themeColor="text1"/>
          <w:sz w:val="32"/>
          <w:szCs w:val="32"/>
          <w:highlight w:val="none"/>
          <w:lang w:eastAsia="zh"/>
          <w14:textFill>
            <w14:solidFill>
              <w14:schemeClr w14:val="tx1"/>
            </w14:solidFill>
          </w14:textFill>
        </w:rPr>
        <w:t>附件2</w:t>
      </w:r>
    </w:p>
    <w:p>
      <w:pPr>
        <w:jc w:val="both"/>
        <w:rPr>
          <w:rFonts w:hint="eastAsia" w:ascii="宋体" w:hAnsi="宋体" w:eastAsia="宋体" w:cs="宋体"/>
          <w:b/>
          <w:bCs/>
          <w:color w:val="000000" w:themeColor="text1"/>
          <w:sz w:val="72"/>
          <w:szCs w:val="72"/>
          <w:highlight w:val="none"/>
          <w14:textFill>
            <w14:solidFill>
              <w14:schemeClr w14:val="tx1"/>
            </w14:solidFill>
          </w14:textFill>
        </w:rPr>
      </w:pPr>
    </w:p>
    <w:p>
      <w:pPr>
        <w:jc w:val="center"/>
        <w:rPr>
          <w:rFonts w:hint="eastAsia" w:ascii="宋体" w:hAnsi="宋体" w:eastAsia="宋体" w:cs="宋体"/>
          <w:b/>
          <w:bCs/>
          <w:color w:val="000000" w:themeColor="text1"/>
          <w:sz w:val="72"/>
          <w:szCs w:val="72"/>
          <w:highlight w:val="none"/>
          <w14:textFill>
            <w14:solidFill>
              <w14:schemeClr w14:val="tx1"/>
            </w14:solidFill>
          </w14:textFill>
        </w:rPr>
      </w:pPr>
    </w:p>
    <w:p>
      <w:pPr>
        <w:jc w:val="center"/>
        <w:rPr>
          <w:rFonts w:hint="eastAsia" w:ascii="方正小标宋_GBK" w:hAnsi="方正小标宋_GBK" w:eastAsia="方正小标宋_GBK" w:cs="方正小标宋_GBK"/>
          <w:b/>
          <w:bCs/>
          <w:color w:val="000000" w:themeColor="text1"/>
          <w:sz w:val="72"/>
          <w:szCs w:val="72"/>
          <w:highlight w:val="none"/>
          <w14:textFill>
            <w14:solidFill>
              <w14:schemeClr w14:val="tx1"/>
            </w14:solidFill>
          </w14:textFill>
        </w:rPr>
      </w:pPr>
    </w:p>
    <w:p>
      <w:pPr>
        <w:jc w:val="center"/>
        <w:rPr>
          <w:rFonts w:hint="eastAsia" w:ascii="方正小标宋_GBK" w:hAnsi="方正小标宋_GBK" w:eastAsia="方正小标宋_GBK" w:cs="方正小标宋_GBK"/>
          <w:b w:val="0"/>
          <w:bCs w:val="0"/>
          <w:color w:val="000000" w:themeColor="text1"/>
          <w:sz w:val="44"/>
          <w:szCs w:val="44"/>
          <w:highlight w:val="none"/>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highlight w:val="none"/>
          <w14:textFill>
            <w14:solidFill>
              <w14:schemeClr w14:val="tx1"/>
            </w14:solidFill>
          </w14:textFill>
        </w:rPr>
        <w:t>海南省旅游文化广电体育及文物</w:t>
      </w:r>
      <w:r>
        <w:rPr>
          <w:rFonts w:hint="eastAsia"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t>行业</w:t>
      </w:r>
      <w:r>
        <w:rPr>
          <w:rFonts w:hint="eastAsia" w:ascii="方正小标宋_GBK" w:hAnsi="方正小标宋_GBK" w:eastAsia="方正小标宋_GBK" w:cs="方正小标宋_GBK"/>
          <w:b w:val="0"/>
          <w:bCs w:val="0"/>
          <w:color w:val="000000" w:themeColor="text1"/>
          <w:sz w:val="44"/>
          <w:szCs w:val="44"/>
          <w:highlight w:val="none"/>
          <w14:textFill>
            <w14:solidFill>
              <w14:schemeClr w14:val="tx1"/>
            </w14:solidFill>
          </w14:textFill>
        </w:rPr>
        <w:t>人才统计</w:t>
      </w:r>
      <w:r>
        <w:rPr>
          <w:rFonts w:hint="eastAsia"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t>调查</w:t>
      </w:r>
      <w:r>
        <w:rPr>
          <w:rFonts w:hint="eastAsia" w:ascii="方正小标宋_GBK" w:hAnsi="方正小标宋_GBK" w:eastAsia="方正小标宋_GBK" w:cs="方正小标宋_GBK"/>
          <w:b w:val="0"/>
          <w:bCs w:val="0"/>
          <w:color w:val="000000" w:themeColor="text1"/>
          <w:sz w:val="44"/>
          <w:szCs w:val="44"/>
          <w:highlight w:val="none"/>
          <w14:textFill>
            <w14:solidFill>
              <w14:schemeClr w14:val="tx1"/>
            </w14:solidFill>
          </w14:textFill>
        </w:rPr>
        <w:t>制度</w:t>
      </w:r>
    </w:p>
    <w:p>
      <w:pPr>
        <w:rPr>
          <w:rFonts w:hint="eastAsia"/>
          <w:color w:val="000000" w:themeColor="text1"/>
          <w:highlight w:val="none"/>
          <w14:textFill>
            <w14:solidFill>
              <w14:schemeClr w14:val="tx1"/>
            </w14:solidFill>
          </w14:textFill>
        </w:rPr>
      </w:pPr>
    </w:p>
    <w:p>
      <w:pPr>
        <w:jc w:val="center"/>
        <w:rPr>
          <w:rFonts w:hint="eastAsia" w:ascii="宋体" w:hAnsi="宋体" w:eastAsia="宋体" w:cs="宋体"/>
          <w:color w:val="000000" w:themeColor="text1"/>
          <w:sz w:val="32"/>
          <w:szCs w:val="32"/>
          <w:highlight w:val="none"/>
          <w14:textFill>
            <w14:solidFill>
              <w14:schemeClr w14:val="tx1"/>
            </w14:solidFill>
          </w14:textFill>
        </w:rPr>
      </w:pPr>
    </w:p>
    <w:p>
      <w:pPr>
        <w:jc w:val="center"/>
        <w:rPr>
          <w:rFonts w:hint="eastAsia" w:ascii="宋体" w:hAnsi="宋体" w:eastAsia="宋体" w:cs="宋体"/>
          <w:color w:val="000000" w:themeColor="text1"/>
          <w:sz w:val="32"/>
          <w:szCs w:val="32"/>
          <w:highlight w:val="none"/>
          <w14:textFill>
            <w14:solidFill>
              <w14:schemeClr w14:val="tx1"/>
            </w14:solidFill>
          </w14:textFill>
        </w:rPr>
      </w:pPr>
    </w:p>
    <w:p>
      <w:pPr>
        <w:jc w:val="both"/>
        <w:rPr>
          <w:rFonts w:hint="eastAsia" w:ascii="宋体" w:hAnsi="宋体" w:eastAsia="宋体" w:cs="宋体"/>
          <w:color w:val="000000" w:themeColor="text1"/>
          <w:sz w:val="32"/>
          <w:szCs w:val="32"/>
          <w:highlight w:val="none"/>
          <w14:textFill>
            <w14:solidFill>
              <w14:schemeClr w14:val="tx1"/>
            </w14:solidFill>
          </w14:textFill>
        </w:rPr>
      </w:pPr>
    </w:p>
    <w:p>
      <w:pPr>
        <w:jc w:val="center"/>
        <w:rPr>
          <w:rFonts w:hint="eastAsia" w:ascii="宋体" w:hAnsi="宋体" w:eastAsia="宋体" w:cs="宋体"/>
          <w:color w:val="000000" w:themeColor="text1"/>
          <w:sz w:val="32"/>
          <w:szCs w:val="32"/>
          <w:highlight w:val="none"/>
          <w14:textFill>
            <w14:solidFill>
              <w14:schemeClr w14:val="tx1"/>
            </w14:solidFill>
          </w14:textFill>
        </w:rPr>
      </w:pPr>
    </w:p>
    <w:p>
      <w:pPr>
        <w:jc w:val="center"/>
        <w:rPr>
          <w:rFonts w:hint="eastAsia" w:ascii="宋体" w:hAnsi="宋体" w:eastAsia="宋体" w:cs="宋体"/>
          <w:color w:val="000000" w:themeColor="text1"/>
          <w:sz w:val="32"/>
          <w:szCs w:val="32"/>
          <w:highlight w:val="none"/>
          <w14:textFill>
            <w14:solidFill>
              <w14:schemeClr w14:val="tx1"/>
            </w14:solidFill>
          </w14:textFill>
        </w:rPr>
      </w:pPr>
    </w:p>
    <w:p>
      <w:pPr>
        <w:jc w:val="center"/>
        <w:rPr>
          <w:rFonts w:hint="eastAsia" w:ascii="宋体" w:hAnsi="宋体" w:eastAsia="宋体" w:cs="宋体"/>
          <w:color w:val="000000" w:themeColor="text1"/>
          <w:sz w:val="32"/>
          <w:szCs w:val="32"/>
          <w:highlight w:val="none"/>
          <w14:textFill>
            <w14:solidFill>
              <w14:schemeClr w14:val="tx1"/>
            </w14:solidFill>
          </w14:textFill>
        </w:rPr>
      </w:pPr>
    </w:p>
    <w:p>
      <w:pPr>
        <w:jc w:val="center"/>
        <w:rPr>
          <w:rFonts w:hint="eastAsia" w:ascii="宋体" w:hAnsi="宋体" w:eastAsia="宋体" w:cs="宋体"/>
          <w:color w:val="000000" w:themeColor="text1"/>
          <w:sz w:val="32"/>
          <w:szCs w:val="32"/>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海南省旅游和文化广电体育厅制定</w:t>
      </w:r>
    </w:p>
    <w:p>
      <w:pPr>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2025年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p>
    <w:p>
      <w:pPr>
        <w:rPr>
          <w:rFonts w:hint="eastAsia"/>
          <w:color w:val="000000" w:themeColor="text1"/>
          <w:highlight w:val="none"/>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jc w:val="cente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本报表制度根据《中华人民共和国统计法》的有关规定制</w:t>
      </w:r>
      <w:r>
        <w:rPr>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定</w:t>
      </w:r>
    </w:p>
    <w:p>
      <w:pPr>
        <w:spacing w:line="600" w:lineRule="exact"/>
        <w:ind w:firstLine="600"/>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《中华人民共和国统计法》</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第</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八</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spacing w:line="600" w:lineRule="exact"/>
        <w:ind w:firstLine="600"/>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《中华人民共和国统计法》</w:t>
      </w:r>
      <w:r>
        <w:rPr>
          <w:rFonts w:hint="eastAsia" w:ascii="仿宋_GB2312" w:hAnsi="仿宋_GB2312" w:eastAsia="仿宋_GB2312" w:cs="仿宋_GB2312"/>
          <w:b w:val="0"/>
          <w:bCs w:val="0"/>
          <w:color w:val="000000" w:themeColor="text1"/>
          <w:sz w:val="32"/>
          <w:szCs w:val="32"/>
          <w:highlight w:val="none"/>
          <w:shd w:val="clear" w:color="auto" w:fill="FFFFFF"/>
          <w14:textFill>
            <w14:solidFill>
              <w14:schemeClr w14:val="tx1"/>
            </w14:solidFill>
          </w14:textFill>
        </w:rPr>
        <w:t>第</w:t>
      </w:r>
      <w:r>
        <w:rPr>
          <w:rStyle w:val="19"/>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FFFFFF"/>
          <w14:textFill>
            <w14:solidFill>
              <w14:schemeClr w14:val="tx1"/>
            </w14:solidFill>
          </w14:textFill>
        </w:rPr>
        <w:t>十一条</w:t>
      </w:r>
      <w:r>
        <w:rPr>
          <w:rFonts w:hint="eastAsia" w:ascii="仿宋_GB2312" w:hAnsi="仿宋_GB2312" w:eastAsia="仿宋_GB2312" w:cs="仿宋_GB2312"/>
          <w:b w:val="0"/>
          <w:bCs w:val="0"/>
          <w:color w:val="000000" w:themeColor="text1"/>
          <w:sz w:val="32"/>
          <w:szCs w:val="32"/>
          <w:highlight w:val="none"/>
          <w:shd w:val="clear" w:color="auto" w:fill="FFFFFF"/>
          <w14:textFill>
            <w14:solidFill>
              <w14:schemeClr w14:val="tx1"/>
            </w14:solidFill>
          </w14:textFill>
        </w:rPr>
        <w:t>规定</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14:textFill>
            <w14:solidFill>
              <w14:schemeClr w14:val="tx1"/>
            </w14:solidFill>
          </w14:textFill>
        </w:rPr>
        <w:t>统计机构和统计人员对在统计工作中知悉的国家秘密、工作秘密、商业秘密、个人隐私和个人信息，应当予以保密，不得泄露或者向他人非法提供。</w:t>
      </w:r>
    </w:p>
    <w:p>
      <w:pPr>
        <w:spacing w:line="600" w:lineRule="exact"/>
        <w:ind w:firstLine="600"/>
        <w:rPr>
          <w:rFonts w:hint="eastAsia"/>
          <w:color w:val="000000" w:themeColor="text1"/>
          <w:highlight w:val="none"/>
          <w14:textFill>
            <w14:solidFill>
              <w14:schemeClr w14:val="tx1"/>
            </w14:solidFill>
          </w14:textFill>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《中华人民共和国统计法》</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第</w:t>
      </w:r>
      <w:r>
        <w:rPr>
          <w:rStyle w:val="19"/>
          <w:rFonts w:hint="eastAsia" w:ascii="仿宋_GB2312" w:hAnsi="仿宋_GB2312" w:eastAsia="仿宋_GB2312" w:cs="仿宋_GB2312"/>
          <w:b w:val="0"/>
          <w:bCs/>
          <w:i w:val="0"/>
          <w:iCs w:val="0"/>
          <w:caps w:val="0"/>
          <w:color w:val="000000" w:themeColor="text1"/>
          <w:spacing w:val="0"/>
          <w:sz w:val="32"/>
          <w:szCs w:val="32"/>
          <w:highlight w:val="none"/>
          <w:shd w:val="clear" w:color="auto" w:fill="FFFFFF"/>
          <w14:textFill>
            <w14:solidFill>
              <w14:schemeClr w14:val="tx1"/>
            </w14:solidFill>
          </w14:textFill>
        </w:rPr>
        <w:t>二十八条</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规</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定：统计调查中获得的能够识别或者推断单个统计调查对象身份的资料，任何单位和个人不得对外提供、泄露，不得用于统计以外的目的。</w:t>
      </w:r>
    </w:p>
    <w:p>
      <w:pPr>
        <w:rPr>
          <w:rFonts w:hint="eastAsia"/>
          <w:color w:val="000000" w:themeColor="text1"/>
          <w:highlight w:val="none"/>
          <w14:textFill>
            <w14:solidFill>
              <w14:schemeClr w14:val="tx1"/>
            </w14:solidFill>
          </w14:textFill>
        </w:rPr>
      </w:pPr>
    </w:p>
    <w:p>
      <w:pPr>
        <w:spacing w:before="0" w:after="0" w:line="240" w:lineRule="auto"/>
        <w:ind w:left="0" w:leftChars="0" w:right="0" w:rightChars="0" w:firstLine="0" w:firstLineChars="0"/>
        <w:jc w:val="cente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目</w:t>
      </w:r>
      <w:r>
        <w:rPr>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录</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TOC \o "1-2" \t "目录" \h \u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_Toc1564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黑体" w:hAnsi="黑体" w:eastAsia="黑体" w:cs="黑体"/>
          <w:bCs/>
          <w:snapToGrid w:val="0"/>
          <w:color w:val="000000" w:themeColor="text1"/>
          <w:kern w:val="44"/>
          <w:sz w:val="28"/>
          <w:szCs w:val="28"/>
          <w:highlight w:val="none"/>
          <w:lang w:val="en-US" w:eastAsia="zh-CN" w:bidi="ar-SA"/>
          <w14:textFill>
            <w14:solidFill>
              <w14:schemeClr w14:val="tx1"/>
            </w14:solidFill>
          </w14:textFill>
        </w:rPr>
        <w:t>一、总说明</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_Toc1564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_Toc7794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（一）目的和意义</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_Toc7794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_Toc2638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（二）调查范围与对象</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_Toc2638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_Toc28304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（三）调查内容</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_Toc28304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_Toc14079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（四）调查频次</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_Toc14079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_Toc30719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（五）调查方式</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_Toc30719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_Toc14404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（六）样本抽取</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_Toc14404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_Toc14105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（七）组织实施</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_Toc14105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_Toc24411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（八）质量控制</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_Toc24411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_Toc3396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（九）制度有效期</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_Toc3396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_Toc4270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楷体_GB2312" w:hAnsi="楷体_GB2312" w:eastAsia="楷体_GB2312" w:cs="楷体_GB2312"/>
          <w:bCs w:val="0"/>
          <w:color w:val="000000" w:themeColor="text1"/>
          <w:kern w:val="0"/>
          <w:sz w:val="28"/>
          <w:szCs w:val="28"/>
          <w:highlight w:val="none"/>
          <w:lang w:val="en-US" w:eastAsia="zh-CN" w:bidi="ar-SA"/>
          <w14:textFill>
            <w14:solidFill>
              <w14:schemeClr w14:val="tx1"/>
            </w14:solidFill>
          </w14:textFill>
        </w:rPr>
        <w:t>（十）本制度由海南省旅游和文化广电体育厅负责解释</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_Toc4270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- 5 -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_Toc7027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黑体" w:hAnsi="黑体" w:eastAsia="黑体" w:cs="黑体"/>
          <w:bCs/>
          <w:snapToGrid w:val="0"/>
          <w:color w:val="000000" w:themeColor="text1"/>
          <w:kern w:val="44"/>
          <w:sz w:val="28"/>
          <w:szCs w:val="28"/>
          <w:highlight w:val="none"/>
          <w:lang w:val="en-US" w:eastAsia="zh-CN" w:bidi="ar-SA"/>
          <w14:textFill>
            <w14:solidFill>
              <w14:schemeClr w14:val="tx1"/>
            </w14:solidFill>
          </w14:textFill>
        </w:rPr>
        <w:t>二、</w:t>
      </w:r>
      <w:r>
        <w:rPr>
          <w:rFonts w:hint="eastAsia" w:ascii="黑体" w:hAnsi="黑体" w:eastAsia="黑体" w:cs="黑体"/>
          <w:bCs/>
          <w:snapToGrid w:val="0"/>
          <w:color w:val="000000" w:themeColor="text1"/>
          <w:sz w:val="28"/>
          <w:szCs w:val="28"/>
          <w:highlight w:val="none"/>
          <w14:textFill>
            <w14:solidFill>
              <w14:schemeClr w14:val="tx1"/>
            </w14:solidFill>
          </w14:textFill>
        </w:rPr>
        <w:t>调查表式</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_Toc7027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_Toc18121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黑体" w:hAnsi="黑体" w:eastAsia="黑体" w:cs="黑体"/>
          <w:color w:val="000000" w:themeColor="text1"/>
          <w:kern w:val="0"/>
          <w:sz w:val="28"/>
          <w:szCs w:val="28"/>
          <w:highlight w:val="none"/>
          <w:lang w:val="en-US" w:eastAsia="zh-CN"/>
          <w14:textFill>
            <w14:solidFill>
              <w14:schemeClr w14:val="tx1"/>
            </w14:solidFill>
          </w14:textFill>
        </w:rPr>
        <w:t>三</w:t>
      </w:r>
      <w:r>
        <w:rPr>
          <w:rFonts w:hint="eastAsia" w:ascii="黑体" w:hAnsi="黑体" w:eastAsia="黑体" w:cs="黑体"/>
          <w:color w:val="000000" w:themeColor="text1"/>
          <w:kern w:val="0"/>
          <w:sz w:val="28"/>
          <w:szCs w:val="28"/>
          <w:highlight w:val="none"/>
          <w14:textFill>
            <w14:solidFill>
              <w14:schemeClr w14:val="tx1"/>
            </w14:solidFill>
          </w14:textFill>
        </w:rPr>
        <w:t>、主要指标解释</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_Toc18121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- 12 -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_Toc451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黑体" w:hAnsi="黑体" w:eastAsia="黑体" w:cs="黑体"/>
          <w:color w:val="000000" w:themeColor="text1"/>
          <w:kern w:val="0"/>
          <w:sz w:val="28"/>
          <w:szCs w:val="28"/>
          <w:highlight w:val="none"/>
          <w:lang w:val="en-US" w:eastAsia="zh-CN"/>
          <w14:textFill>
            <w14:solidFill>
              <w14:schemeClr w14:val="tx1"/>
            </w14:solidFill>
          </w14:textFill>
        </w:rPr>
        <w:t>四</w:t>
      </w:r>
      <w:r>
        <w:rPr>
          <w:rFonts w:hint="eastAsia" w:ascii="黑体" w:hAnsi="黑体" w:eastAsia="黑体" w:cs="黑体"/>
          <w:color w:val="000000" w:themeColor="text1"/>
          <w:kern w:val="0"/>
          <w:sz w:val="28"/>
          <w:szCs w:val="28"/>
          <w:highlight w:val="none"/>
          <w14:textFill>
            <w14:solidFill>
              <w14:schemeClr w14:val="tx1"/>
            </w14:solidFill>
          </w14:textFill>
        </w:rPr>
        <w:t>、</w:t>
      </w:r>
      <w:r>
        <w:rPr>
          <w:rFonts w:hint="eastAsia" w:ascii="黑体" w:hAnsi="黑体" w:eastAsia="黑体" w:cs="黑体"/>
          <w:color w:val="000000" w:themeColor="text1"/>
          <w:kern w:val="0"/>
          <w:sz w:val="28"/>
          <w:szCs w:val="28"/>
          <w:highlight w:val="none"/>
          <w:lang w:val="en-US" w:eastAsia="zh-CN"/>
          <w14:textFill>
            <w14:solidFill>
              <w14:schemeClr w14:val="tx1"/>
            </w14:solidFill>
          </w14:textFill>
        </w:rPr>
        <w:t>附录</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_Toc451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- 16 -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_Toc31255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sz w:val="28"/>
          <w:szCs w:val="28"/>
          <w:highlight w:val="none"/>
          <w:lang w:val="en-US" w:eastAsia="zh-CN"/>
          <w14:textFill>
            <w14:solidFill>
              <w14:schemeClr w14:val="tx1"/>
            </w14:solidFill>
          </w14:textFill>
        </w:rPr>
        <w:t>（一）旅游行业统计分类表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_Toc31255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- 16 -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_Toc13512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sz w:val="28"/>
          <w:szCs w:val="28"/>
          <w:highlight w:val="none"/>
          <w:lang w:val="en-US" w:eastAsia="zh-CN"/>
          <w14:textFill>
            <w14:solidFill>
              <w14:schemeClr w14:val="tx1"/>
            </w14:solidFill>
          </w14:textFill>
        </w:rPr>
        <w:t>（二）体育行业统计分类表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_Toc13512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- 20 -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_Toc31582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sz w:val="28"/>
          <w:szCs w:val="28"/>
          <w:highlight w:val="none"/>
          <w:lang w:val="en-US" w:eastAsia="zh-CN"/>
          <w14:textFill>
            <w14:solidFill>
              <w14:schemeClr w14:val="tx1"/>
            </w14:solidFill>
          </w14:textFill>
        </w:rPr>
        <w:t>（三）文化行业统计分类表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_Toc31582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- 28 -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_Toc24206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sz w:val="28"/>
          <w:szCs w:val="28"/>
          <w:highlight w:val="none"/>
          <w:lang w:val="en-US" w:eastAsia="zh-CN"/>
          <w14:textFill>
            <w14:solidFill>
              <w14:schemeClr w14:val="tx1"/>
            </w14:solidFill>
          </w14:textFill>
        </w:rPr>
        <w:t>（四）广电行业统计分类表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_Toc24206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- 30 -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_Toc32600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Times New Roman" w:hAnsi="Times New Roman" w:cs="Times New Roman"/>
          <w:bCs/>
          <w:color w:val="000000" w:themeColor="text1"/>
          <w:sz w:val="28"/>
          <w:szCs w:val="28"/>
          <w:highlight w:val="none"/>
          <w:lang w:val="en-US" w:eastAsia="zh-CN"/>
          <w14:textFill>
            <w14:solidFill>
              <w14:schemeClr w14:val="tx1"/>
            </w14:solidFill>
          </w14:textFill>
        </w:rPr>
        <w:t>（五）</w:t>
      </w:r>
      <w:r>
        <w:rPr>
          <w:rFonts w:hint="eastAsia" w:ascii="Times New Roman" w:hAnsi="Times New Roman" w:eastAsia="宋体" w:cs="Times New Roman"/>
          <w:bCs/>
          <w:color w:val="000000" w:themeColor="text1"/>
          <w:sz w:val="28"/>
          <w:szCs w:val="28"/>
          <w:highlight w:val="none"/>
          <w:lang w:val="en-US" w:eastAsia="zh-CN"/>
          <w14:textFill>
            <w14:solidFill>
              <w14:schemeClr w14:val="tx1"/>
            </w14:solidFill>
          </w14:textFill>
        </w:rPr>
        <w:t>文物行业统计分类表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_Toc32600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- 31 -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\l _Toc12379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Fonts w:hint="eastAsia" w:ascii="Times New Roman" w:hAnsi="Times New Roman" w:cs="Times New Roman"/>
          <w:bCs/>
          <w:color w:val="000000" w:themeColor="text1"/>
          <w:sz w:val="28"/>
          <w:szCs w:val="28"/>
          <w:highlight w:val="none"/>
          <w:lang w:val="en-US" w:eastAsia="zh-CN"/>
          <w14:textFill>
            <w14:solidFill>
              <w14:schemeClr w14:val="tx1"/>
            </w14:solidFill>
          </w14:textFill>
        </w:rPr>
        <w:t>（六）统计上大中小微型企业划分标准</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_Toc12379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- 32 -</w:t>
      </w:r>
      <w:r>
        <w:rPr>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fldChar w:fldCharType="end"/>
      </w:r>
    </w:p>
    <w:p>
      <w:pPr>
        <w:rPr>
          <w:rFonts w:hint="eastAsia" w:ascii="Calibri" w:hAnsi="Calibri" w:eastAsia="宋体" w:cs="宋体"/>
          <w:color w:val="000000" w:themeColor="text1"/>
          <w:kern w:val="2"/>
          <w:sz w:val="21"/>
          <w:szCs w:val="24"/>
          <w:highlight w:val="none"/>
          <w:lang w:val="en-US" w:eastAsia="zh-CN" w:bidi="ar-SA"/>
          <w14:textFill>
            <w14:solidFill>
              <w14:schemeClr w14:val="tx1"/>
            </w14:solidFill>
          </w14:textFill>
        </w:rPr>
      </w:pPr>
    </w:p>
    <w:p>
      <w:pPr>
        <w:tabs>
          <w:tab w:val="left" w:pos="2727"/>
        </w:tabs>
        <w:bidi w:val="0"/>
        <w:jc w:val="left"/>
        <w:rPr>
          <w:rFonts w:hint="eastAsia" w:ascii="Calibri" w:hAnsi="Calibri" w:eastAsia="宋体" w:cs="宋体"/>
          <w:color w:val="000000" w:themeColor="text1"/>
          <w:kern w:val="2"/>
          <w:sz w:val="21"/>
          <w:szCs w:val="24"/>
          <w:highlight w:val="none"/>
          <w:lang w:val="en-US" w:eastAsia="zh-CN" w:bidi="ar-SA"/>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2"/>
        <w:keepNext/>
        <w:keepLines/>
        <w:pageBreakBefore/>
        <w:widowControl w:val="0"/>
        <w:numPr>
          <w:ilvl w:val="0"/>
          <w:numId w:val="0"/>
        </w:numPr>
        <w:kinsoku/>
        <w:wordWrap/>
        <w:overflowPunct/>
        <w:topLinePunct w:val="0"/>
        <w:autoSpaceDE/>
        <w:autoSpaceDN/>
        <w:bidi w:val="0"/>
        <w:adjustRightInd/>
        <w:snapToGrid/>
        <w:spacing w:before="0" w:after="0" w:line="540" w:lineRule="exact"/>
        <w:ind w:left="0" w:leftChars="0"/>
        <w:jc w:val="center"/>
        <w:textAlignment w:val="auto"/>
        <w:rPr>
          <w:rFonts w:hint="eastAsia" w:ascii="黑体" w:hAnsi="黑体" w:eastAsia="黑体" w:cs="黑体"/>
          <w:b w:val="0"/>
          <w:bCs/>
          <w:snapToGrid w:val="0"/>
          <w:color w:val="000000" w:themeColor="text1"/>
          <w:kern w:val="44"/>
          <w:sz w:val="32"/>
          <w:szCs w:val="32"/>
          <w:highlight w:val="none"/>
          <w:lang w:val="en-US" w:eastAsia="zh-CN" w:bidi="ar-SA"/>
          <w14:textFill>
            <w14:solidFill>
              <w14:schemeClr w14:val="tx1"/>
            </w14:solidFill>
          </w14:textFill>
        </w:rPr>
      </w:pPr>
      <w:bookmarkStart w:id="0" w:name="_Toc2075346138"/>
      <w:bookmarkStart w:id="1" w:name="_Toc28640"/>
      <w:bookmarkStart w:id="2" w:name="_Toc32086"/>
      <w:bookmarkStart w:id="3" w:name="_Toc1564"/>
      <w:r>
        <w:rPr>
          <w:rFonts w:hint="eastAsia" w:ascii="黑体" w:hAnsi="黑体" w:eastAsia="黑体" w:cs="黑体"/>
          <w:b w:val="0"/>
          <w:bCs/>
          <w:snapToGrid w:val="0"/>
          <w:color w:val="000000" w:themeColor="text1"/>
          <w:kern w:val="44"/>
          <w:sz w:val="32"/>
          <w:szCs w:val="32"/>
          <w:highlight w:val="none"/>
          <w:lang w:val="en-US" w:eastAsia="zh-CN" w:bidi="ar-SA"/>
          <w14:textFill>
            <w14:solidFill>
              <w14:schemeClr w14:val="tx1"/>
            </w14:solidFill>
          </w14:textFill>
        </w:rPr>
        <w:t>一、总说明</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4" w:name="_Toc116636598"/>
      <w:bookmarkStart w:id="5" w:name="_Toc7794"/>
      <w:bookmarkStart w:id="6" w:name="_Toc24025"/>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（一）目的和意义</w:t>
      </w:r>
      <w:bookmarkEnd w:id="4"/>
      <w:bookmarkEnd w:id="5"/>
      <w:bookmarkEnd w:id="6"/>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长期以来，我省旅游文化广电体育及文物行业存在人才底数不清的问题，不利于人才管理和发展。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为精准掌握旅游文化广电体育产业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及</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文物领域</w:t>
      </w:r>
      <w:r>
        <w:rPr>
          <w:rFonts w:hint="eastAsia" w:ascii="仿宋_GB2312" w:hAnsi="仿宋_GB2312" w:eastAsia="仿宋_GB2312" w:cs="仿宋_GB2312"/>
          <w:color w:val="000000" w:themeColor="text1"/>
          <w:sz w:val="32"/>
          <w:szCs w:val="32"/>
          <w:highlight w:val="none"/>
          <w14:textFill>
            <w14:solidFill>
              <w14:schemeClr w14:val="tx1"/>
            </w14:solidFill>
          </w14:textFill>
        </w:rPr>
        <w:t>人才底数，强化人才供给与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行业</w:t>
      </w:r>
      <w:r>
        <w:rPr>
          <w:rFonts w:hint="eastAsia" w:ascii="仿宋_GB2312" w:hAnsi="仿宋_GB2312" w:eastAsia="仿宋_GB2312" w:cs="仿宋_GB2312"/>
          <w:color w:val="000000" w:themeColor="text1"/>
          <w:sz w:val="32"/>
          <w:szCs w:val="32"/>
          <w:highlight w:val="none"/>
          <w14:textFill>
            <w14:solidFill>
              <w14:schemeClr w14:val="tx1"/>
            </w14:solidFill>
          </w14:textFill>
        </w:rPr>
        <w:t>发展的适配性，通过全领域调查统计，构建涵盖从业人员总量、结构、素质等要素的基础数据体系，系统梳理人才队伍的结构性特征与发展规律。同时，聚焦供给侧与需求侧的多维比对分析，精准识别新兴业态人才短缺、区域配置失衡等结构性矛盾，形成供需匹配专题报告，提出政策优化建议，为构建与自贸港产业升级相适应的人才生态提供决策支撑。</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7" w:name="_Toc23772"/>
      <w:bookmarkStart w:id="8" w:name="_Toc2638"/>
      <w:bookmarkStart w:id="9" w:name="_Toc1535126134"/>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（二）调查范围与对象</w:t>
      </w:r>
      <w:bookmarkEnd w:id="7"/>
      <w:bookmarkEnd w:id="8"/>
      <w:bookmarkEnd w:id="9"/>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10" w:name="_Toc17385"/>
      <w:bookmarkStart w:id="11" w:name="_Toc484426452"/>
      <w:bookmarkStart w:id="12" w:name="_Toc31971"/>
      <w:bookmarkStart w:id="13" w:name="_Toc482102875"/>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1.调查</w:t>
      </w:r>
      <w:r>
        <w:rPr>
          <w:rFonts w:hint="eastAsia" w:ascii="仿宋_GB2312" w:hAnsi="仿宋_GB2312" w:eastAsia="仿宋_GB2312" w:cs="仿宋_GB2312"/>
          <w:color w:val="000000" w:themeColor="text1"/>
          <w:sz w:val="32"/>
          <w:szCs w:val="32"/>
          <w:highlight w:val="none"/>
          <w14:textFill>
            <w14:solidFill>
              <w14:schemeClr w14:val="tx1"/>
            </w14:solidFill>
          </w14:textFill>
        </w:rPr>
        <w:t>范围</w:t>
      </w:r>
      <w:bookmarkEnd w:id="10"/>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海南省旅游文化广电体育及文物行业的经营主体及服务机构。调查范围参照《国民经济行业分类》（GB/T 4754-2017）要求及项目需要，具体包括旅游行业（涵盖旅游餐饮，旅游住宿，旅游出行，旅游游览，旅游购物，旅游娱乐，旅游辅助服务，旅游综合服务，旅游管理服务等）、体育行业（涵盖体育管理活动，体育竞赛表演活动，体育健身休闲活动，体育场地和设施管理，体育经纪与代理服务，体育教育与培训，体育传媒与信息服务，其他体育服务，体育用品及相关产品制造，体育用品及相关产品销售、出租与贸易代理，体育场地设施建设等）、文化行业（涵盖新闻和出版业，文化艺术业，工艺美术品制造，文化投资运营，文化经纪代理服务，文化科研培训服务等）、广电行业（涵盖广播电视节目制作，广播电视节目播出，广播电视传输，广播电视电影设备制造及销售等）以及文物行业（涵盖文化传承与保护，博物馆、纪念馆等文化场馆运营，文物艺术品交易等），详见附录行业分类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14" w:name="_Toc22195"/>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2.调查对象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调查对象包括机构及个人，其中机构包括旅游、文化、体育、广电及文物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行业</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，从事生产经营服务活动的法人单位、产业活动单位和个体经营户。个人对象包括以上</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行业</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范围内的管理人员、专业技术人员、专业技能人员、专业服务人员、国际化人员、海归人员等。</w:t>
      </w:r>
    </w:p>
    <w:bookmarkEnd w:id="11"/>
    <w:bookmarkEnd w:id="12"/>
    <w:bookmarkEnd w:id="13"/>
    <w:bookmarkEnd w:id="14"/>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15" w:name="_Toc21837"/>
      <w:bookmarkStart w:id="16" w:name="_Toc12282"/>
      <w:bookmarkStart w:id="17" w:name="_Toc2021037985"/>
      <w:bookmarkStart w:id="18" w:name="_Toc28304"/>
      <w:bookmarkStart w:id="19" w:name="_Toc484426453"/>
      <w:bookmarkStart w:id="20" w:name="_Toc482102876"/>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（三）调查内容</w:t>
      </w:r>
      <w:bookmarkEnd w:id="15"/>
      <w:bookmarkEnd w:id="16"/>
      <w:bookmarkEnd w:id="17"/>
      <w:bookmarkEnd w:id="18"/>
      <w:bookmarkEnd w:id="19"/>
      <w:bookmarkEnd w:id="20"/>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重点关注从业人员总量、人才总量、学历结构、职称等级、人才需求、流动趋势等核心指标，构建多维度基础数据采集体系，精准定位各产业集群岗位需求缺口，明确急需补充的岗位类型及数量。同步开展企业人才需求调研，全面收集岗位要求、技能稀缺度、薪资预期等信息，系统梳理人才队伍特征，为构建供需匹配的人才配置机制提供数据支撑。</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21" w:name="_Toc14079"/>
      <w:bookmarkStart w:id="22" w:name="_Toc1701887776"/>
      <w:bookmarkStart w:id="23" w:name="_Toc1375"/>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（四）调查频次</w:t>
      </w:r>
      <w:bookmarkEnd w:id="21"/>
      <w:bookmarkEnd w:id="22"/>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一次性调查。</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24" w:name="_Toc690979022"/>
      <w:bookmarkStart w:id="25" w:name="_Toc30719"/>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（五）调查方式</w:t>
      </w:r>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通过调查问卷、实地走访面访、电话访谈、网络调查、实地调研等多种方式，广泛收集相关行业服务机构的人才现状及结构等信息。选取行业重点企业（代表性）进行座谈，访谈企业在人才引进渠道、人员培养、岗位培训、就业情况及在招聘过程中存在的问题等。</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26" w:name="_Toc1260541865"/>
      <w:bookmarkStart w:id="27" w:name="_Toc14404"/>
      <w:bookmarkStart w:id="28" w:name="_Toc7013"/>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（六）样本抽取</w:t>
      </w:r>
      <w:bookmarkEnd w:id="26"/>
      <w:bookmarkEnd w:id="27"/>
      <w:bookmarkEnd w:id="28"/>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运用科学的抽样方法，根据海南省旅游文化广电体育文物产业的分布特点和企业规模，采用分层抽样和随机抽样相结合的方式，抽样数量符合抽样调查方案设计的估算量精度要求。结合我省各行业样本框实际进行测算，预计抽取旅游行业不少于1100个；体育行业不少于1050个；文化行业不少于700个；广电行业不少于200个，文物行业不少于100个，共抽取调查总样本不低于3150个。实地调研数量，旅游行业实地调研20家，体育行业10家，文化行业10家，文物行业3家，广电行业5家，了解重点企业对人才需求情况。人才个人信息调查不少于5500人。</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29" w:name="_Toc20319"/>
      <w:bookmarkStart w:id="30" w:name="_Toc1266807579"/>
      <w:bookmarkStart w:id="31" w:name="_Toc14105"/>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（七）组织实施</w:t>
      </w:r>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1.由省旅游和文化广电体育厅负责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旅游文化广电体育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文物行业人才</w:t>
      </w:r>
      <w:r>
        <w:rPr>
          <w:rFonts w:hint="eastAsia" w:ascii="仿宋_GB2312" w:hAnsi="仿宋_GB2312" w:eastAsia="仿宋_GB2312" w:cs="仿宋_GB2312"/>
          <w:color w:val="000000" w:themeColor="text1"/>
          <w:sz w:val="32"/>
          <w:szCs w:val="32"/>
          <w:highlight w:val="none"/>
          <w14:textFill>
            <w14:solidFill>
              <w14:schemeClr w14:val="tx1"/>
            </w14:solidFill>
          </w14:textFill>
        </w:rPr>
        <w:t>统计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调查</w:t>
      </w:r>
      <w:r>
        <w:rPr>
          <w:rFonts w:hint="eastAsia" w:ascii="仿宋_GB2312" w:hAnsi="仿宋_GB2312" w:eastAsia="仿宋_GB2312" w:cs="仿宋_GB2312"/>
          <w:color w:val="000000" w:themeColor="text1"/>
          <w:sz w:val="32"/>
          <w:szCs w:val="32"/>
          <w:highlight w:val="none"/>
          <w14:textFill>
            <w14:solidFill>
              <w14:schemeClr w14:val="tx1"/>
            </w14:solidFill>
          </w14:textFill>
        </w:rPr>
        <w:t>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组织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与</w:t>
      </w:r>
      <w:r>
        <w:rPr>
          <w:rFonts w:hint="eastAsia" w:ascii="仿宋_GB2312" w:hAnsi="仿宋_GB2312" w:eastAsia="仿宋_GB2312" w:cs="仿宋_GB2312"/>
          <w:color w:val="000000" w:themeColor="text1"/>
          <w:sz w:val="32"/>
          <w:szCs w:val="32"/>
          <w:highlight w:val="none"/>
          <w14:textFill>
            <w14:solidFill>
              <w14:schemeClr w14:val="tx1"/>
            </w14:solidFill>
          </w14:textFill>
        </w:rPr>
        <w:t>实施，包括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行业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摸底清查、</w:t>
      </w:r>
      <w:r>
        <w:rPr>
          <w:rFonts w:hint="eastAsia" w:ascii="仿宋_GB2312" w:hAnsi="仿宋_GB2312" w:eastAsia="仿宋_GB2312" w:cs="仿宋_GB2312"/>
          <w:color w:val="000000" w:themeColor="text1"/>
          <w:sz w:val="32"/>
          <w:szCs w:val="32"/>
          <w:highlight w:val="none"/>
          <w14:textFill>
            <w14:solidFill>
              <w14:schemeClr w14:val="tx1"/>
            </w14:solidFill>
          </w14:textFill>
        </w:rPr>
        <w:t>抽样设计、数据采集、数据处理、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数据核算、</w:t>
      </w:r>
      <w:r>
        <w:rPr>
          <w:rFonts w:hint="eastAsia" w:ascii="仿宋_GB2312" w:hAnsi="仿宋_GB2312" w:eastAsia="仿宋_GB2312" w:cs="仿宋_GB2312"/>
          <w:color w:val="000000" w:themeColor="text1"/>
          <w:sz w:val="32"/>
          <w:szCs w:val="32"/>
          <w:highlight w:val="none"/>
          <w14:textFill>
            <w14:solidFill>
              <w14:schemeClr w14:val="tx1"/>
            </w14:solidFill>
          </w14:textFill>
        </w:rPr>
        <w:t>审核和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验收、数据评估论证、数据发布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负责全省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旅游文化广电体育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文物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产业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人才现状统计及人才需求统计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b/>
          <w:bCs/>
          <w:color w:val="000000" w:themeColor="text1"/>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.各市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旅游</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和文化广电体育局及行业协会全力</w:t>
      </w:r>
      <w:r>
        <w:rPr>
          <w:rFonts w:hint="eastAsia" w:ascii="仿宋_GB2312" w:hAnsi="仿宋_GB2312" w:eastAsia="仿宋_GB2312" w:cs="仿宋_GB2312"/>
          <w:color w:val="000000" w:themeColor="text1"/>
          <w:sz w:val="32"/>
          <w:szCs w:val="32"/>
          <w:highlight w:val="none"/>
          <w14:textFill>
            <w14:solidFill>
              <w14:schemeClr w14:val="tx1"/>
            </w14:solidFill>
          </w14:textFill>
        </w:rPr>
        <w:t>协助配合统计调查工作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，对各项调查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实施给予支持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32" w:name="_Toc26427"/>
      <w:bookmarkStart w:id="33" w:name="_Toc24411"/>
      <w:bookmarkStart w:id="34" w:name="_Toc1511082015"/>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（八）质量控制</w:t>
      </w:r>
      <w:bookmarkEnd w:id="32"/>
      <w:bookmarkEnd w:id="33"/>
      <w:bookmarkEnd w:id="34"/>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严格按制度要求实施：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所有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调查</w:t>
      </w:r>
      <w:r>
        <w:rPr>
          <w:rFonts w:hint="eastAsia" w:ascii="仿宋_GB2312" w:hAnsi="仿宋_GB2312" w:eastAsia="仿宋_GB2312" w:cs="仿宋_GB2312"/>
          <w:color w:val="000000" w:themeColor="text1"/>
          <w:sz w:val="32"/>
          <w:szCs w:val="32"/>
          <w:highlight w:val="none"/>
          <w14:textFill>
            <w14:solidFill>
              <w14:schemeClr w14:val="tx1"/>
            </w14:solidFill>
          </w14:textFill>
        </w:rPr>
        <w:t>工作人员和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调查</w:t>
      </w:r>
      <w:r>
        <w:rPr>
          <w:rFonts w:hint="eastAsia" w:ascii="仿宋_GB2312" w:hAnsi="仿宋_GB2312" w:eastAsia="仿宋_GB2312" w:cs="仿宋_GB2312"/>
          <w:color w:val="000000" w:themeColor="text1"/>
          <w:sz w:val="32"/>
          <w:szCs w:val="32"/>
          <w:highlight w:val="none"/>
          <w14:textFill>
            <w14:solidFill>
              <w14:schemeClr w14:val="tx1"/>
            </w14:solidFill>
          </w14:textFill>
        </w:rPr>
        <w:t>对象必须严格按照《中华人民共和国统计法》</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《中华人民共和国统计法实施条例》的规定，按时、如实</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开展调查实施工作</w:t>
      </w:r>
      <w:r>
        <w:rPr>
          <w:rFonts w:hint="eastAsia" w:ascii="仿宋_GB2312" w:hAnsi="仿宋_GB2312" w:eastAsia="仿宋_GB2312" w:cs="仿宋_GB2312"/>
          <w:color w:val="000000" w:themeColor="text1"/>
          <w:sz w:val="32"/>
          <w:szCs w:val="32"/>
          <w:highlight w:val="none"/>
          <w14:textFill>
            <w14:solidFill>
              <w14:schemeClr w14:val="tx1"/>
            </w14:solidFill>
          </w14:textFill>
        </w:rPr>
        <w:t>。任何单位和个人不得虚报、瞒报、拒报、迟报，不得伪造、篡改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调查</w:t>
      </w:r>
      <w:r>
        <w:rPr>
          <w:rFonts w:hint="eastAsia" w:ascii="仿宋_GB2312" w:hAnsi="仿宋_GB2312" w:eastAsia="仿宋_GB2312" w:cs="仿宋_GB2312"/>
          <w:color w:val="000000" w:themeColor="text1"/>
          <w:sz w:val="32"/>
          <w:szCs w:val="32"/>
          <w:highlight w:val="none"/>
          <w14:textFill>
            <w14:solidFill>
              <w14:schemeClr w14:val="tx1"/>
            </w14:solidFill>
          </w14:textFill>
        </w:rPr>
        <w:t>数据。</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坚持防范和惩治统计造假、弄虚作假，加大对统计调查工作中违法违纪行为的查处、通报和曝光力度，全面实施统计严重失信企业公示和惩戒制度。</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数据质量审核：建立多级数据质量审核机制，数据采集员在数据收集过程中进行初步审核，确保数据的完整性和准确性。项目执行团队中的统计专家对采集的数据进行二次审核，对异常数据进行核实和处理。监督评估小组对数据质量进行抽查审核，确保数据质量符合项目要求。对审核过程中发现的问题及时反馈给数据采集员进行整改，确保数据质量可靠。</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分析方法验证：在数据分析阶段，采用多种分析方法进行交叉验证，确保分析结果的可靠性。邀请行业专家对分析方法和结果进行评审，听取专业意见，及时调整和优化分析方法。对分析方法进行详细记录和说明，便于后续查阅和验证。</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4.成果审核修订：统计报告撰写完成后，组织相关人员进行审核，提出修订完善意见，确保项目成果的质量和应用价值。对审核和评审意见进行汇总整理，形成修订方案，确保统计报告质量达到高标准。</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5.各级调查组织实施单位要严格执行经批准的统计调查制度，不得擅自变更统计调查制度的内容。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480" w:firstLineChars="15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35" w:name="_Toc3396"/>
      <w:bookmarkStart w:id="36" w:name="_Toc403715092"/>
      <w:bookmarkStart w:id="37" w:name="_Toc634"/>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（九）制度有效期</w:t>
      </w:r>
      <w:bookmarkEnd w:id="35"/>
      <w:bookmarkEnd w:id="36"/>
      <w:bookmarkEnd w:id="37"/>
    </w:p>
    <w:p>
      <w:pPr>
        <w:keepNext w:val="0"/>
        <w:keepLines w:val="0"/>
        <w:widowControl w:val="0"/>
        <w:suppressLineNumbers w:val="0"/>
        <w:kinsoku/>
        <w:wordWrap/>
        <w:overflowPunct/>
        <w:topLinePunct w:val="0"/>
        <w:autoSpaceDE/>
        <w:autoSpaceDN/>
        <w:bidi w:val="0"/>
        <w:adjustRightInd/>
        <w:snapToGrid/>
        <w:spacing w:line="540" w:lineRule="exact"/>
        <w:ind w:left="0" w:leftChars="0"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highlight w:val="none"/>
          <w:shd w:val="clear"/>
          <w:lang w:val="en-US" w:eastAsia="zh-CN" w:bidi="ar"/>
          <w14:textFill>
            <w14:solidFill>
              <w14:schemeClr w14:val="tx1"/>
            </w14:solidFill>
          </w14:textFill>
        </w:rPr>
        <w:t>本调查制度从2025年 月起实施，有效期为1年。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480" w:firstLineChars="150"/>
        <w:textAlignment w:val="auto"/>
        <w:outlineLvl w:val="1"/>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pPr>
      <w:bookmarkStart w:id="38" w:name="_Toc60055936"/>
      <w:bookmarkStart w:id="39" w:name="_Toc19894"/>
      <w:bookmarkStart w:id="40" w:name="_Toc4270"/>
      <w:r>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t>（十）本制度由海南省旅游和文化广电体育厅负责解释</w:t>
      </w:r>
      <w:bookmarkEnd w:id="38"/>
      <w:bookmarkEnd w:id="39"/>
      <w:bookmarkEnd w:id="40"/>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jc w:val="both"/>
        <w:textAlignment w:val="auto"/>
        <w:rPr>
          <w:rFonts w:hint="eastAsia" w:ascii="楷体_GB2312" w:hAnsi="楷体_GB2312" w:eastAsia="楷体_GB2312" w:cs="楷体_GB2312"/>
          <w:b w:val="0"/>
          <w:bCs w:val="0"/>
          <w:color w:val="000000" w:themeColor="text1"/>
          <w:kern w:val="0"/>
          <w:sz w:val="32"/>
          <w:szCs w:val="32"/>
          <w:highlight w:val="none"/>
          <w:lang w:val="en-US" w:eastAsia="zh-CN" w:bidi="ar-SA"/>
          <w14:textFill>
            <w14:solidFill>
              <w14:schemeClr w14:val="tx1"/>
            </w14:solidFill>
          </w14:textFill>
        </w:rPr>
        <w:sectPr>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pPr>
        <w:pStyle w:val="2"/>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黑体" w:hAnsi="黑体" w:eastAsia="黑体" w:cs="黑体"/>
          <w:b w:val="0"/>
          <w:bCs/>
          <w:snapToGrid w:val="0"/>
          <w:color w:val="000000" w:themeColor="text1"/>
          <w:sz w:val="36"/>
          <w:szCs w:val="36"/>
          <w:highlight w:val="none"/>
          <w14:textFill>
            <w14:solidFill>
              <w14:schemeClr w14:val="tx1"/>
            </w14:solidFill>
          </w14:textFill>
        </w:rPr>
      </w:pPr>
      <w:bookmarkStart w:id="41" w:name="_Toc1300412929"/>
      <w:bookmarkStart w:id="42" w:name="_Toc1981"/>
      <w:bookmarkStart w:id="43" w:name="_Toc19569"/>
      <w:bookmarkStart w:id="44" w:name="_Toc7027"/>
      <w:bookmarkStart w:id="45" w:name="_Toc10175"/>
      <w:bookmarkStart w:id="46" w:name="_Toc32683"/>
      <w:bookmarkStart w:id="47" w:name="_Toc1225"/>
      <w:r>
        <w:rPr>
          <w:rFonts w:hint="eastAsia" w:ascii="黑体" w:hAnsi="黑体" w:eastAsia="黑体" w:cs="黑体"/>
          <w:b w:val="0"/>
          <w:bCs/>
          <w:snapToGrid w:val="0"/>
          <w:color w:val="000000" w:themeColor="text1"/>
          <w:kern w:val="44"/>
          <w:sz w:val="36"/>
          <w:szCs w:val="36"/>
          <w:highlight w:val="none"/>
          <w:lang w:val="en-US" w:eastAsia="zh-CN" w:bidi="ar-SA"/>
          <w14:textFill>
            <w14:solidFill>
              <w14:schemeClr w14:val="tx1"/>
            </w14:solidFill>
          </w14:textFill>
        </w:rPr>
        <w:t>二、</w:t>
      </w:r>
      <w:r>
        <w:rPr>
          <w:rFonts w:hint="eastAsia" w:ascii="黑体" w:hAnsi="黑体" w:eastAsia="黑体" w:cs="黑体"/>
          <w:b w:val="0"/>
          <w:bCs/>
          <w:snapToGrid w:val="0"/>
          <w:color w:val="000000" w:themeColor="text1"/>
          <w:sz w:val="36"/>
          <w:szCs w:val="36"/>
          <w:highlight w:val="none"/>
          <w14:textFill>
            <w14:solidFill>
              <w14:schemeClr w14:val="tx1"/>
            </w14:solidFill>
          </w14:textFill>
        </w:rPr>
        <w:t>调查表式</w:t>
      </w:r>
      <w:bookmarkEnd w:id="41"/>
      <w:bookmarkEnd w:id="42"/>
      <w:bookmarkEnd w:id="43"/>
      <w:bookmarkEnd w:id="44"/>
      <w:bookmarkEnd w:id="45"/>
      <w:bookmarkEnd w:id="46"/>
      <w:bookmarkEnd w:id="47"/>
    </w:p>
    <w:p>
      <w:pPr>
        <w:jc w:val="center"/>
        <w:outlineLvl w:val="9"/>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t>海南省</w:t>
      </w:r>
      <w:r>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t>旅游文化体育广电及文物行业</w:t>
      </w:r>
      <w:r>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t>人才</w:t>
      </w:r>
      <w:r>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t>统计</w:t>
      </w:r>
      <w:r>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t>调查表</w:t>
      </w:r>
    </w:p>
    <w:p>
      <w:pPr>
        <w:spacing w:line="360" w:lineRule="auto"/>
        <w:jc w:val="center"/>
        <w:outlineLvl w:val="9"/>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行业服务机构</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jc w:val="center"/>
        <w:outlineLvl w:val="9"/>
        <w:rPr>
          <w:rFonts w:hint="default"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default" w:ascii="仿宋_GB2312" w:hAnsi="仿宋_GB2312" w:eastAsia="仿宋_GB2312" w:cs="仿宋_GB2312"/>
          <w:color w:val="000000" w:themeColor="text1"/>
          <w:sz w:val="24"/>
          <w:highlight w:val="non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表    号：</w:t>
      </w:r>
      <w:r>
        <w:rPr>
          <w:rFonts w:hint="default" w:ascii="仿宋_GB2312" w:hAnsi="仿宋_GB2312" w:eastAsia="仿宋_GB2312" w:cs="仿宋_GB2312"/>
          <w:color w:val="000000" w:themeColor="text1"/>
          <w:sz w:val="24"/>
          <w:highlight w:val="none"/>
          <w:lang w:val="en"/>
          <w14:textFill>
            <w14:solidFill>
              <w14:schemeClr w14:val="tx1"/>
            </w14:solidFill>
          </w14:textFill>
        </w:rPr>
        <w:t>LVRC001</w:t>
      </w:r>
    </w:p>
    <w:p>
      <w:pPr>
        <w:ind w:firstLine="480"/>
        <w:jc w:val="center"/>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制定机关：海南省</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旅游和文化广电体育厅</w:t>
      </w:r>
    </w:p>
    <w:p>
      <w:pPr>
        <w:ind w:firstLine="480"/>
        <w:jc w:val="center"/>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批准机关：</w:t>
      </w:r>
    </w:p>
    <w:p>
      <w:pPr>
        <w:ind w:firstLine="480"/>
        <w:jc w:val="center"/>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批准文号：</w:t>
      </w:r>
    </w:p>
    <w:p>
      <w:pPr>
        <w:spacing w:line="240" w:lineRule="auto"/>
        <w:jc w:val="center"/>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有效期至：</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pPr>
        <w:spacing w:line="360" w:lineRule="auto"/>
        <w:outlineLvl w:val="9"/>
        <w:rPr>
          <w:rFonts w:hint="eastAsia" w:ascii="黑体" w:hAnsi="黑体" w:eastAsia="黑体" w:cs="黑体"/>
          <w:b w:val="0"/>
          <w:bCs w:val="0"/>
          <w:color w:val="000000" w:themeColor="text1"/>
          <w:sz w:val="24"/>
          <w:highlight w:val="none"/>
          <w14:textFill>
            <w14:solidFill>
              <w14:schemeClr w14:val="tx1"/>
            </w14:solidFill>
          </w14:textFill>
        </w:rPr>
      </w:pPr>
      <w:r>
        <w:rPr>
          <w:rFonts w:hint="eastAsia" w:ascii="黑体" w:hAnsi="黑体" w:eastAsia="黑体" w:cs="黑体"/>
          <w:b w:val="0"/>
          <w:bCs w:val="0"/>
          <w:color w:val="000000" w:themeColor="text1"/>
          <w:sz w:val="24"/>
          <w:highlight w:val="none"/>
          <w14:textFill>
            <w14:solidFill>
              <w14:schemeClr w14:val="tx1"/>
            </w14:solidFill>
          </w14:textFill>
        </w:rPr>
        <w:t>一、基本情况</w:t>
      </w:r>
    </w:p>
    <w:tbl>
      <w:tblPr>
        <w:tblStyle w:val="16"/>
        <w:tblW w:w="91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7"/>
        <w:gridCol w:w="922"/>
        <w:gridCol w:w="556"/>
        <w:gridCol w:w="1428"/>
        <w:gridCol w:w="656"/>
        <w:gridCol w:w="1966"/>
        <w:gridCol w:w="1174"/>
        <w:gridCol w:w="14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1007"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val="0"/>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b/>
                <w:bCs w:val="0"/>
                <w:color w:val="000000" w:themeColor="text1"/>
                <w:kern w:val="0"/>
                <w:sz w:val="18"/>
                <w:szCs w:val="18"/>
                <w:highlight w:val="none"/>
                <w14:textFill>
                  <w14:solidFill>
                    <w14:schemeClr w14:val="tx1"/>
                  </w14:solidFill>
                </w14:textFill>
              </w:rPr>
              <w:t>统一社会信用代码</w:t>
            </w:r>
          </w:p>
        </w:tc>
        <w:tc>
          <w:tcPr>
            <w:tcW w:w="3562" w:type="dxa"/>
            <w:gridSpan w:val="4"/>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auto"/>
              <w:jc w:val="left"/>
              <w:rPr>
                <w:rFonts w:hint="eastAsia" w:ascii="仿宋_GB2312" w:hAnsi="仿宋_GB2312" w:eastAsia="仿宋_GB2312" w:cs="仿宋_GB2312"/>
                <w:b/>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14:textFill>
                  <w14:solidFill>
                    <w14:schemeClr w14:val="tx1"/>
                  </w14:solidFill>
                </w14:textFill>
              </w:rPr>
              <w:t xml:space="preserve">□□□□□□□□□□□□□□□□□□ </w:t>
            </w:r>
          </w:p>
        </w:tc>
        <w:tc>
          <w:tcPr>
            <w:tcW w:w="1966"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t>单位详细名称</w:t>
            </w:r>
          </w:p>
        </w:tc>
        <w:tc>
          <w:tcPr>
            <w:tcW w:w="2625" w:type="dxa"/>
            <w:gridSpan w:val="2"/>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b/>
                <w:color w:val="000000" w:themeColor="text1"/>
                <w:kern w:val="0"/>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1007"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b/>
                <w:color w:val="000000" w:themeColor="text1"/>
                <w:kern w:val="0"/>
                <w:sz w:val="18"/>
                <w:szCs w:val="18"/>
                <w:highlight w:val="none"/>
                <w14:textFill>
                  <w14:solidFill>
                    <w14:schemeClr w14:val="tx1"/>
                  </w14:solidFill>
                </w14:textFill>
              </w:rPr>
              <w:t>单位类别</w:t>
            </w:r>
          </w:p>
        </w:tc>
        <w:tc>
          <w:tcPr>
            <w:tcW w:w="3562" w:type="dxa"/>
            <w:gridSpan w:val="4"/>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14:textFill>
                  <w14:solidFill>
                    <w14:schemeClr w14:val="tx1"/>
                  </w14:solidFill>
                </w14:textFill>
              </w:rPr>
              <w:t>□01.法人单位</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18"/>
                <w:szCs w:val="18"/>
                <w:highlight w:val="none"/>
                <w14:textFill>
                  <w14:solidFill>
                    <w14:schemeClr w14:val="tx1"/>
                  </w14:solidFill>
                </w14:textFill>
              </w:rPr>
              <w:t>□02.产业活动单位</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w:t>
            </w:r>
          </w:p>
        </w:tc>
        <w:tc>
          <w:tcPr>
            <w:tcW w:w="1966"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t>法定代表人或负责人</w:t>
            </w:r>
          </w:p>
        </w:tc>
        <w:tc>
          <w:tcPr>
            <w:tcW w:w="2625" w:type="dxa"/>
            <w:gridSpan w:val="2"/>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1007"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t>单位地址</w:t>
            </w:r>
          </w:p>
        </w:tc>
        <w:tc>
          <w:tcPr>
            <w:tcW w:w="5528" w:type="dxa"/>
            <w:gridSpan w:val="5"/>
            <w:tcBorders>
              <w:top w:val="single" w:color="auto" w:sz="4" w:space="0"/>
              <w:left w:val="nil"/>
              <w:bottom w:val="single" w:color="auto" w:sz="4" w:space="0"/>
              <w:right w:val="nil"/>
            </w:tcBorders>
            <w:shd w:val="clear" w:color="auto" w:fill="FFFFFF"/>
            <w:noWrap w:val="0"/>
            <w:vAlign w:val="center"/>
          </w:tcPr>
          <w:p>
            <w:pPr>
              <w:widowControl w:val="0"/>
              <w:spacing w:line="240" w:lineRule="auto"/>
              <w:ind w:left="0" w:firstLine="0" w:firstLineChars="0"/>
              <w:jc w:val="both"/>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color w:val="000000" w:themeColor="text1"/>
                <w:sz w:val="18"/>
                <w:szCs w:val="18"/>
                <w:highlight w:val="none"/>
                <w:u w:val="none"/>
                <w14:textFill>
                  <w14:solidFill>
                    <w14:schemeClr w14:val="tx1"/>
                  </w14:solidFill>
                </w14:textFill>
              </w:rPr>
              <w:t>海南省</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市（县）</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 xml:space="preserve"> 区</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乡</w:t>
            </w:r>
            <w:r>
              <w:rPr>
                <w:rFonts w:hint="eastAsia" w:ascii="仿宋_GB2312" w:hAnsi="仿宋_GB2312" w:eastAsia="仿宋_GB2312" w:cs="仿宋_GB2312"/>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18"/>
                <w:szCs w:val="18"/>
                <w:highlight w:val="none"/>
                <w14:textFill>
                  <w14:solidFill>
                    <w14:schemeClr w14:val="tx1"/>
                  </w14:solidFill>
                </w14:textFill>
              </w:rPr>
              <w:t>镇</w:t>
            </w:r>
            <w:r>
              <w:rPr>
                <w:rFonts w:hint="eastAsia" w:ascii="仿宋_GB2312" w:hAnsi="仿宋_GB2312" w:eastAsia="仿宋_GB2312" w:cs="仿宋_GB2312"/>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街</w:t>
            </w:r>
            <w:r>
              <w:rPr>
                <w:rFonts w:hint="eastAsia" w:ascii="仿宋_GB2312" w:hAnsi="仿宋_GB2312" w:eastAsia="仿宋_GB2312" w:cs="仿宋_GB2312"/>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18"/>
                <w:szCs w:val="18"/>
                <w:highlight w:val="none"/>
                <w14:textFill>
                  <w14:solidFill>
                    <w14:schemeClr w14:val="tx1"/>
                  </w14:solidFill>
                </w14:textFill>
              </w:rPr>
              <w:t>村</w:t>
            </w:r>
            <w:r>
              <w:rPr>
                <w:rFonts w:hint="eastAsia" w:ascii="仿宋_GB2312" w:hAnsi="仿宋_GB2312" w:eastAsia="仿宋_GB2312" w:cs="仿宋_GB2312"/>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18"/>
                <w:szCs w:val="1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18"/>
                <w:szCs w:val="18"/>
                <w:highlight w:val="none"/>
                <w14:textFill>
                  <w14:solidFill>
                    <w14:schemeClr w14:val="tx1"/>
                  </w14:solidFill>
                </w14:textFill>
              </w:rPr>
              <w:t>号</w:t>
            </w:r>
          </w:p>
        </w:tc>
        <w:tc>
          <w:tcPr>
            <w:tcW w:w="1174" w:type="dxa"/>
            <w:tcBorders>
              <w:top w:val="single" w:color="auto" w:sz="4" w:space="0"/>
              <w:left w:val="single" w:color="auto" w:sz="4" w:space="0"/>
              <w:bottom w:val="single" w:color="auto" w:sz="4" w:space="0"/>
              <w:right w:val="nil"/>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t>成立日期</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1007"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14:textFill>
                  <w14:solidFill>
                    <w14:schemeClr w14:val="tx1"/>
                  </w14:solidFill>
                </w14:textFill>
              </w:rPr>
              <w:t>联系方式</w:t>
            </w:r>
          </w:p>
        </w:tc>
        <w:tc>
          <w:tcPr>
            <w:tcW w:w="922"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联系人</w:t>
            </w:r>
          </w:p>
        </w:tc>
        <w:tc>
          <w:tcPr>
            <w:tcW w:w="1984" w:type="dxa"/>
            <w:gridSpan w:val="2"/>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p>
        </w:tc>
        <w:tc>
          <w:tcPr>
            <w:tcW w:w="656"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14:textFill>
                  <w14:solidFill>
                    <w14:schemeClr w14:val="tx1"/>
                  </w14:solidFill>
                </w14:textFill>
              </w:rPr>
              <w:t>电话</w:t>
            </w:r>
          </w:p>
        </w:tc>
        <w:tc>
          <w:tcPr>
            <w:tcW w:w="1966"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p>
        </w:tc>
        <w:tc>
          <w:tcPr>
            <w:tcW w:w="1174"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center"/>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14:textFill>
                  <w14:solidFill>
                    <w14:schemeClr w14:val="tx1"/>
                  </w14:solidFill>
                </w14:textFill>
              </w:rPr>
              <w:t>电子邮箱</w:t>
            </w:r>
          </w:p>
        </w:tc>
        <w:tc>
          <w:tcPr>
            <w:tcW w:w="1451"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3" w:hRule="atLeast"/>
          <w:jc w:val="center"/>
        </w:trPr>
        <w:tc>
          <w:tcPr>
            <w:tcW w:w="1007" w:type="dxa"/>
            <w:vMerge w:val="restart"/>
            <w:tcBorders>
              <w:top w:val="single" w:color="auto" w:sz="4" w:space="0"/>
              <w:left w:val="nil"/>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lang w:eastAsia="zh-CN"/>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lang w:eastAsia="zh-CN"/>
                <w14:textFill>
                  <w14:solidFill>
                    <w14:schemeClr w14:val="tx1"/>
                  </w14:solidFill>
                </w14:textFill>
              </w:rPr>
              <w:t>行业类型</w:t>
            </w:r>
          </w:p>
        </w:tc>
        <w:tc>
          <w:tcPr>
            <w:tcW w:w="1478"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cente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旅游行业</w:t>
            </w:r>
          </w:p>
        </w:tc>
        <w:tc>
          <w:tcPr>
            <w:tcW w:w="6675" w:type="dxa"/>
            <w:gridSpan w:val="5"/>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旅游餐饮；</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旅游住宿；</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旅游出行；</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旅游游览；</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旅游购物；</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旅游娱乐；</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旅游辅助服务；</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旅游综合服务；</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旅游管理服务；</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07" w:type="dxa"/>
            <w:vMerge w:val="continue"/>
            <w:tcBorders>
              <w:left w:val="nil"/>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lang w:eastAsia="zh-CN"/>
                <w14:textFill>
                  <w14:solidFill>
                    <w14:schemeClr w14:val="tx1"/>
                  </w14:solidFill>
                </w14:textFill>
              </w:rPr>
            </w:pPr>
          </w:p>
        </w:tc>
        <w:tc>
          <w:tcPr>
            <w:tcW w:w="1478"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cente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体育行业</w:t>
            </w:r>
          </w:p>
        </w:tc>
        <w:tc>
          <w:tcPr>
            <w:tcW w:w="6675" w:type="dxa"/>
            <w:gridSpan w:val="5"/>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体育管理活动；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体育竞赛表演活动；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体育健身休闲活动；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体育场地和设施管理；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体育经纪与代理、广告与会展、表演与设计服务；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体育教育与培训；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体育传媒与信息服务；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其他体育服务；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体育用品及相关产品制造；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体育用品及相关产品销售、出租与贸易代理；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体育场地设施建设；</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1007" w:type="dxa"/>
            <w:vMerge w:val="continue"/>
            <w:tcBorders>
              <w:left w:val="nil"/>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lang w:eastAsia="zh-CN"/>
                <w14:textFill>
                  <w14:solidFill>
                    <w14:schemeClr w14:val="tx1"/>
                  </w14:solidFill>
                </w14:textFill>
              </w:rPr>
            </w:pPr>
          </w:p>
        </w:tc>
        <w:tc>
          <w:tcPr>
            <w:tcW w:w="1478"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cente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文化行业</w:t>
            </w:r>
          </w:p>
        </w:tc>
        <w:tc>
          <w:tcPr>
            <w:tcW w:w="6675" w:type="dxa"/>
            <w:gridSpan w:val="5"/>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新闻和出版业；</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文化艺术业；</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工艺美术品制造；</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文化投资运营；</w:t>
            </w:r>
          </w:p>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文化经纪代理服务；</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文化科研培训服务；</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1007" w:type="dxa"/>
            <w:vMerge w:val="continue"/>
            <w:tcBorders>
              <w:left w:val="nil"/>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lang w:eastAsia="zh-CN"/>
                <w14:textFill>
                  <w14:solidFill>
                    <w14:schemeClr w14:val="tx1"/>
                  </w14:solidFill>
                </w14:textFill>
              </w:rPr>
            </w:pPr>
          </w:p>
        </w:tc>
        <w:tc>
          <w:tcPr>
            <w:tcW w:w="1478"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cente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广电行业</w:t>
            </w:r>
          </w:p>
        </w:tc>
        <w:tc>
          <w:tcPr>
            <w:tcW w:w="6675" w:type="dxa"/>
            <w:gridSpan w:val="5"/>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广播电视节目制作；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广播电视节目播出；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广播电视传输；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广播电视电影设备制造及销售；</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1007" w:type="dxa"/>
            <w:vMerge w:val="continue"/>
            <w:tcBorders>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lang w:eastAsia="zh-CN"/>
                <w14:textFill>
                  <w14:solidFill>
                    <w14:schemeClr w14:val="tx1"/>
                  </w14:solidFill>
                </w14:textFill>
              </w:rPr>
            </w:pPr>
          </w:p>
        </w:tc>
        <w:tc>
          <w:tcPr>
            <w:tcW w:w="1478" w:type="dxa"/>
            <w:gridSpan w:val="2"/>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cente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文物行业</w:t>
            </w:r>
          </w:p>
        </w:tc>
        <w:tc>
          <w:tcPr>
            <w:tcW w:w="6675" w:type="dxa"/>
            <w:gridSpan w:val="5"/>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文化传承与保护；</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博物馆、纪念馆等文化场馆运营；</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文物艺术品交易；</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7"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lang w:val="en-US" w:eastAsia="zh-CN"/>
                <w14:textFill>
                  <w14:solidFill>
                    <w14:schemeClr w14:val="tx1"/>
                  </w14:solidFill>
                </w14:textFill>
              </w:rPr>
              <w:t>机构类型</w:t>
            </w:r>
          </w:p>
        </w:tc>
        <w:tc>
          <w:tcPr>
            <w:tcW w:w="8153" w:type="dxa"/>
            <w:gridSpan w:val="7"/>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政府部门</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事业单位</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 xml:space="preserve">国有企业 </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民营企业</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外资企业</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p>
          <w:p>
            <w:pPr>
              <w:pStyle w:val="9"/>
              <w:spacing w:line="240" w:lineRule="auto"/>
              <w:ind w:firstLine="0" w:firstLineChars="0"/>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合资</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企业</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社会团体</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农民专业合作社（联合社）；   </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个体工商户</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p>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u w:val="singl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其他</w:t>
            </w:r>
            <w:r>
              <w:rPr>
                <w:rFonts w:hint="eastAsia" w:ascii="仿宋_GB2312" w:hAnsi="仿宋_GB2312" w:eastAsia="仿宋_GB2312" w:cs="仿宋_GB2312"/>
                <w:b w:val="0"/>
                <w:bCs w:val="0"/>
                <w:color w:val="000000" w:themeColor="text1"/>
                <w:sz w:val="18"/>
                <w:szCs w:val="18"/>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1007"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300" w:lineRule="exact"/>
              <w:jc w:val="left"/>
              <w:rPr>
                <w:rFonts w:hint="eastAsia" w:ascii="仿宋_GB2312" w:hAnsi="仿宋_GB2312" w:eastAsia="仿宋_GB2312" w:cs="仿宋_GB2312"/>
                <w:b/>
                <w:bCs/>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18"/>
                <w:szCs w:val="18"/>
                <w:highlight w:val="none"/>
                <w:lang w:val="en-US" w:eastAsia="zh-CN"/>
                <w14:textFill>
                  <w14:solidFill>
                    <w14:schemeClr w14:val="tx1"/>
                  </w14:solidFill>
                </w14:textFill>
              </w:rPr>
              <w:t>机构规模</w:t>
            </w:r>
          </w:p>
        </w:tc>
        <w:tc>
          <w:tcPr>
            <w:tcW w:w="8153" w:type="dxa"/>
            <w:gridSpan w:val="7"/>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大型     □ 中型      □ 小型       □ 微型</w:t>
            </w:r>
          </w:p>
        </w:tc>
      </w:tr>
    </w:tbl>
    <w:p>
      <w:pPr>
        <w:spacing w:line="360" w:lineRule="auto"/>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 </w:t>
      </w:r>
    </w:p>
    <w:p>
      <w:pPr>
        <w:jc w:val="left"/>
        <w:outlineLvl w:val="9"/>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黑体" w:hAnsi="黑体" w:eastAsia="黑体" w:cs="黑体"/>
          <w:b w:val="0"/>
          <w:bCs w:val="0"/>
          <w:color w:val="000000" w:themeColor="text1"/>
          <w:sz w:val="24"/>
          <w:highlight w:val="none"/>
          <w:lang w:val="en-US" w:eastAsia="zh-CN"/>
          <w14:textFill>
            <w14:solidFill>
              <w14:schemeClr w14:val="tx1"/>
            </w14:solidFill>
          </w14:textFill>
        </w:rPr>
        <w:t>二、</w:t>
      </w:r>
      <w:r>
        <w:rPr>
          <w:rFonts w:hint="eastAsia" w:ascii="黑体" w:hAnsi="黑体" w:eastAsia="黑体" w:cs="黑体"/>
          <w:b w:val="0"/>
          <w:bCs w:val="0"/>
          <w:color w:val="000000" w:themeColor="text1"/>
          <w:sz w:val="24"/>
          <w:highlight w:val="none"/>
          <w14:textFill>
            <w14:solidFill>
              <w14:schemeClr w14:val="tx1"/>
            </w14:solidFill>
          </w14:textFill>
        </w:rPr>
        <w:t>单位</w:t>
      </w:r>
      <w:r>
        <w:rPr>
          <w:rFonts w:hint="eastAsia" w:ascii="黑体" w:hAnsi="黑体" w:eastAsia="黑体" w:cs="黑体"/>
          <w:b w:val="0"/>
          <w:bCs w:val="0"/>
          <w:color w:val="000000" w:themeColor="text1"/>
          <w:sz w:val="24"/>
          <w:highlight w:val="none"/>
          <w:lang w:val="en-US" w:eastAsia="zh-CN"/>
          <w14:textFill>
            <w14:solidFill>
              <w14:schemeClr w14:val="tx1"/>
            </w14:solidFill>
          </w14:textFill>
        </w:rPr>
        <w:t>从业人员</w:t>
      </w:r>
      <w:r>
        <w:rPr>
          <w:rFonts w:hint="eastAsia" w:ascii="黑体" w:hAnsi="黑体" w:eastAsia="黑体" w:cs="黑体"/>
          <w:b w:val="0"/>
          <w:bCs w:val="0"/>
          <w:color w:val="000000" w:themeColor="text1"/>
          <w:sz w:val="24"/>
          <w:highlight w:val="none"/>
          <w14:textFill>
            <w14:solidFill>
              <w14:schemeClr w14:val="tx1"/>
            </w14:solidFill>
          </w14:textFill>
        </w:rPr>
        <w:t>情况</w:t>
      </w:r>
    </w:p>
    <w:p>
      <w:pPr>
        <w:spacing w:line="360" w:lineRule="auto"/>
        <w:jc w:val="left"/>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目前</w:t>
      </w:r>
      <w:r>
        <w:rPr>
          <w:rFonts w:hint="eastAsia" w:ascii="仿宋_GB2312" w:hAnsi="仿宋_GB2312" w:eastAsia="仿宋_GB2312" w:cs="仿宋_GB2312"/>
          <w:color w:val="000000" w:themeColor="text1"/>
          <w:sz w:val="24"/>
          <w:highlight w:val="none"/>
          <w14:textFill>
            <w14:solidFill>
              <w14:schemeClr w14:val="tx1"/>
            </w14:solidFill>
          </w14:textFill>
        </w:rPr>
        <w:t>从业人员数量：</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 ，</w:t>
      </w:r>
    </w:p>
    <w:p>
      <w:pPr>
        <w:spacing w:line="360" w:lineRule="auto"/>
        <w:jc w:val="left"/>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（1）男性：</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 ，女性：</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p>
    <w:p>
      <w:pPr>
        <w:spacing w:line="360" w:lineRule="auto"/>
        <w:jc w:val="left"/>
        <w:outlineLvl w:val="9"/>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海归人员</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；港澳台地区：</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p>
    <w:p>
      <w:pPr>
        <w:spacing w:line="360" w:lineRule="auto"/>
        <w:jc w:val="left"/>
        <w:outlineLvl w:val="9"/>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外籍人员：</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，其中：欧美</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r>
        <w:rPr>
          <w:rFonts w:hint="eastAsia" w:ascii="仿宋_GB2312" w:hAnsi="仿宋_GB2312" w:eastAsia="仿宋_GB2312" w:cs="仿宋_GB2312"/>
          <w:color w:val="000000" w:themeColor="text1"/>
          <w:sz w:val="24"/>
          <w:highlight w:val="none"/>
          <w:u w:val="none"/>
          <w:lang w:eastAsia="zh-CN"/>
          <w14:textFill>
            <w14:solidFill>
              <w14:schemeClr w14:val="tx1"/>
            </w14:solidFill>
          </w14:textFill>
        </w:rPr>
        <w:t>：日</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韩</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；俄罗斯</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p>
    <w:p>
      <w:pPr>
        <w:spacing w:line="360" w:lineRule="auto"/>
        <w:jc w:val="left"/>
        <w:outlineLvl w:val="9"/>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东南亚：</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 xml:space="preserve"> 人；其他地区：</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国家，</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p>
    <w:p>
      <w:pPr>
        <w:spacing w:line="360" w:lineRule="auto"/>
        <w:jc w:val="left"/>
        <w:outlineLvl w:val="9"/>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2.按年龄段分：</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18-30岁：</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31-45岁：</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46-</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55</w:t>
      </w:r>
      <w:r>
        <w:rPr>
          <w:rFonts w:hint="eastAsia" w:ascii="仿宋_GB2312" w:hAnsi="仿宋_GB2312" w:eastAsia="仿宋_GB2312" w:cs="仿宋_GB2312"/>
          <w:color w:val="000000" w:themeColor="text1"/>
          <w:sz w:val="24"/>
          <w:highlight w:val="none"/>
          <w14:textFill>
            <w14:solidFill>
              <w14:schemeClr w14:val="tx1"/>
            </w14:solidFill>
          </w14:textFill>
        </w:rPr>
        <w:t>岁：</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56</w:t>
      </w:r>
      <w:r>
        <w:rPr>
          <w:rFonts w:hint="eastAsia" w:ascii="仿宋_GB2312" w:hAnsi="仿宋_GB2312" w:eastAsia="仿宋_GB2312" w:cs="仿宋_GB2312"/>
          <w:color w:val="000000" w:themeColor="text1"/>
          <w:sz w:val="24"/>
          <w:highlight w:val="none"/>
          <w14:textFill>
            <w14:solidFill>
              <w14:schemeClr w14:val="tx1"/>
            </w14:solidFill>
          </w14:textFill>
        </w:rPr>
        <w:t>岁以上</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p>
    <w:p>
      <w:pPr>
        <w:spacing w:line="360" w:lineRule="auto"/>
        <w:jc w:val="left"/>
        <w:outlineLvl w:val="9"/>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3.按学历分：</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高中及中专以下：</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大专：</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本科：</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研究生及以上：</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p>
    <w:p>
      <w:pPr>
        <w:spacing w:line="360" w:lineRule="auto"/>
        <w:jc w:val="left"/>
        <w:outlineLvl w:val="9"/>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贵单位</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取得专业技术职称情况</w:t>
      </w:r>
      <w:r>
        <w:rPr>
          <w:rFonts w:hint="eastAsia" w:ascii="仿宋_GB2312" w:hAnsi="仿宋_GB2312" w:eastAsia="仿宋_GB2312" w:cs="仿宋_GB2312"/>
          <w:color w:val="000000" w:themeColor="text1"/>
          <w:sz w:val="24"/>
          <w:highlight w:val="none"/>
          <w14:textFill>
            <w14:solidFill>
              <w14:schemeClr w14:val="tx1"/>
            </w14:solidFill>
          </w14:textFill>
        </w:rPr>
        <w:t>人数：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其中，</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正高</w:t>
      </w:r>
      <w:r>
        <w:rPr>
          <w:rFonts w:hint="eastAsia" w:ascii="仿宋_GB2312" w:hAnsi="仿宋_GB2312" w:eastAsia="仿宋_GB2312" w:cs="仿宋_GB2312"/>
          <w:color w:val="000000" w:themeColor="text1"/>
          <w:sz w:val="24"/>
          <w:highlight w:val="none"/>
          <w14:textFill>
            <w14:solidFill>
              <w14:schemeClr w14:val="tx1"/>
            </w14:solidFill>
          </w14:textFill>
        </w:rPr>
        <w:t>级职称：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副高</w:t>
      </w:r>
      <w:r>
        <w:rPr>
          <w:rFonts w:hint="eastAsia" w:ascii="仿宋_GB2312" w:hAnsi="仿宋_GB2312" w:eastAsia="仿宋_GB2312" w:cs="仿宋_GB2312"/>
          <w:color w:val="000000" w:themeColor="text1"/>
          <w:sz w:val="24"/>
          <w:highlight w:val="none"/>
          <w14:textFill>
            <w14:solidFill>
              <w14:schemeClr w14:val="tx1"/>
            </w14:solidFill>
          </w14:textFill>
        </w:rPr>
        <w:t>级职称：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中级职称</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初级职称：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spacing w:line="360" w:lineRule="auto"/>
        <w:jc w:val="left"/>
        <w:outlineLvl w:val="9"/>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贵单位</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取得技能等级人数：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其中，</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首席技师</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特级技师</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高级/一级技师：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技师/二级</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高级工/三级：</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中级工/四级</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初级工/五级</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学徒工</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spacing w:line="360" w:lineRule="auto"/>
        <w:jc w:val="left"/>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贵单位</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是否有柔性使用人才：</w:t>
      </w:r>
    </w:p>
    <w:p>
      <w:pPr>
        <w:spacing w:line="360" w:lineRule="auto"/>
        <w:jc w:val="left"/>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否</w:t>
      </w:r>
    </w:p>
    <w:p>
      <w:pPr>
        <w:spacing w:line="360" w:lineRule="auto"/>
        <w:jc w:val="left"/>
        <w:outlineLvl w:val="9"/>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是：柔性人才有</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人</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其中，</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项目合作</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对口支援</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顾问指导：</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none"/>
          <w:lang w:val="en-US" w:eastAsia="zh-CN"/>
          <w14:textFill>
            <w14:solidFill>
              <w14:schemeClr w14:val="tx1"/>
            </w14:solidFill>
          </w14:textFill>
        </w:rPr>
        <w:t xml:space="preserve">人；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短期兼职</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候鸟服务：</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其他</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spacing w:line="360" w:lineRule="auto"/>
        <w:jc w:val="left"/>
        <w:outlineLvl w:val="9"/>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7.贵单位是否具有人才团队（某个领域从事研发、策划、项目运行等聚集团队）：</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是，有</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，主要从事：</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sym w:font="Wingdings 2" w:char="00A3"/>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否</w:t>
      </w:r>
    </w:p>
    <w:p>
      <w:pPr>
        <w:jc w:val="left"/>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.贵单位是否安排员工培训，提高员工素质（可多选）：（     ）</w:t>
      </w:r>
    </w:p>
    <w:p>
      <w:pPr>
        <w:jc w:val="left"/>
        <w:outlineLvl w:val="9"/>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（1）入职培训     （2）企业在职提高培训   （3）外出培训  （4）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没有开展</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pPr>
        <w:spacing w:line="360" w:lineRule="auto"/>
        <w:outlineLvl w:val="9"/>
        <w:rPr>
          <w:rFonts w:hint="eastAsia" w:ascii="黑体" w:hAnsi="黑体" w:eastAsia="黑体" w:cs="黑体"/>
          <w:b w:val="0"/>
          <w:bCs w:val="0"/>
          <w:color w:val="000000" w:themeColor="text1"/>
          <w:sz w:val="24"/>
          <w:highlight w:val="none"/>
          <w14:textFill>
            <w14:solidFill>
              <w14:schemeClr w14:val="tx1"/>
            </w14:solidFill>
          </w14:textFill>
        </w:rPr>
      </w:pPr>
      <w:r>
        <w:rPr>
          <w:rFonts w:hint="eastAsia" w:ascii="黑体" w:hAnsi="黑体" w:eastAsia="黑体" w:cs="黑体"/>
          <w:b w:val="0"/>
          <w:bCs w:val="0"/>
          <w:color w:val="000000" w:themeColor="text1"/>
          <w:sz w:val="24"/>
          <w:highlight w:val="none"/>
          <w:lang w:val="en-US" w:eastAsia="zh-CN"/>
          <w14:textFill>
            <w14:solidFill>
              <w14:schemeClr w14:val="tx1"/>
            </w14:solidFill>
          </w14:textFill>
        </w:rPr>
        <w:t>三</w:t>
      </w:r>
      <w:r>
        <w:rPr>
          <w:rFonts w:hint="eastAsia" w:ascii="黑体" w:hAnsi="黑体" w:eastAsia="黑体" w:cs="黑体"/>
          <w:b w:val="0"/>
          <w:bCs w:val="0"/>
          <w:color w:val="000000" w:themeColor="text1"/>
          <w:sz w:val="24"/>
          <w:highlight w:val="none"/>
          <w14:textFill>
            <w14:solidFill>
              <w14:schemeClr w14:val="tx1"/>
            </w14:solidFill>
          </w14:textFill>
        </w:rPr>
        <w:t>、人才需求情况</w:t>
      </w:r>
    </w:p>
    <w:p>
      <w:pPr>
        <w:numPr>
          <w:ilvl w:val="0"/>
          <w:numId w:val="0"/>
        </w:numPr>
        <w:shd w:val="clear" w:color="auto" w:fill="auto"/>
        <w:spacing w:line="360" w:lineRule="auto"/>
        <w:ind w:leftChars="0"/>
        <w:outlineLvl w:val="9"/>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1.目前，本单位急需和紧缺的人才情况。</w:t>
      </w:r>
    </w:p>
    <w:tbl>
      <w:tblPr>
        <w:tblStyle w:val="16"/>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1476"/>
        <w:gridCol w:w="1758"/>
        <w:gridCol w:w="1391"/>
        <w:gridCol w:w="1203"/>
        <w:gridCol w:w="1618"/>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385" w:type="dxa"/>
            <w:vAlign w:val="center"/>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岗位名称</w:t>
            </w:r>
          </w:p>
        </w:tc>
        <w:tc>
          <w:tcPr>
            <w:tcW w:w="1476" w:type="dxa"/>
            <w:vAlign w:val="center"/>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数量</w:t>
            </w:r>
          </w:p>
        </w:tc>
        <w:tc>
          <w:tcPr>
            <w:tcW w:w="1758" w:type="dxa"/>
            <w:vAlign w:val="center"/>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专业</w:t>
            </w:r>
          </w:p>
        </w:tc>
        <w:tc>
          <w:tcPr>
            <w:tcW w:w="1391" w:type="dxa"/>
            <w:vAlign w:val="center"/>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学历</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职称要求</w:t>
            </w:r>
          </w:p>
        </w:tc>
        <w:tc>
          <w:tcPr>
            <w:tcW w:w="1203" w:type="dxa"/>
            <w:vAlign w:val="center"/>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年龄</w:t>
            </w:r>
          </w:p>
        </w:tc>
        <w:tc>
          <w:tcPr>
            <w:tcW w:w="1618" w:type="dxa"/>
            <w:vAlign w:val="center"/>
          </w:tcPr>
          <w:p>
            <w:pPr>
              <w:spacing w:line="240" w:lineRule="auto"/>
              <w:jc w:val="center"/>
              <w:outlineLvl w:val="9"/>
              <w:rPr>
                <w:rFonts w:hint="eastAsia" w:ascii="仿宋_GB2312" w:hAnsi="仿宋_GB2312" w:eastAsia="仿宋_GB2312" w:cs="仿宋_GB2312"/>
                <w:b/>
                <w:bCs/>
                <w:color w:val="000000" w:themeColor="text1"/>
                <w:sz w:val="24"/>
                <w:szCs w:val="24"/>
                <w:highlight w:val="none"/>
                <w:vertAlign w:val="baseli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vertAlign w:val="baseline"/>
                <w:lang w:val="en-US" w:eastAsia="zh-CN"/>
                <w14:textFill>
                  <w14:solidFill>
                    <w14:schemeClr w14:val="tx1"/>
                  </w14:solidFill>
                </w14:textFill>
              </w:rPr>
              <w:t>需求程度</w:t>
            </w:r>
          </w:p>
          <w:p>
            <w:pPr>
              <w:spacing w:line="360" w:lineRule="auto"/>
              <w:jc w:val="center"/>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vertAlign w:val="baseline"/>
                <w:lang w:val="en-US" w:eastAsia="zh-CN"/>
                <w14:textFill>
                  <w14:solidFill>
                    <w14:schemeClr w14:val="tx1"/>
                  </w14:solidFill>
                </w14:textFill>
              </w:rPr>
              <w:t>（高/中/低）</w:t>
            </w: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提供薪资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476"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75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391"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203"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61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476"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75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391"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203"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61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476"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75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391"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203"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61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476"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75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391"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203"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61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476"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75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391"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203"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61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476"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75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391"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203"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61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合计</w:t>
            </w:r>
          </w:p>
        </w:tc>
        <w:tc>
          <w:tcPr>
            <w:tcW w:w="1476"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75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391"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203"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618"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c>
          <w:tcPr>
            <w:tcW w:w="1037" w:type="dxa"/>
          </w:tcPr>
          <w:p>
            <w:pPr>
              <w:spacing w:line="360" w:lineRule="auto"/>
              <w:jc w:val="center"/>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p>
        </w:tc>
      </w:tr>
    </w:tbl>
    <w:p>
      <w:pPr>
        <w:numPr>
          <w:ilvl w:val="0"/>
          <w:numId w:val="0"/>
        </w:numPr>
        <w:shd w:val="clear" w:color="auto" w:fill="auto"/>
        <w:spacing w:line="360" w:lineRule="auto"/>
        <w:ind w:leftChars="0"/>
        <w:outlineLvl w:val="9"/>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2. 贵单位人才来源的渠道主要有（多选）</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□校招  □猎头/人力资源公司  □内推    □社招 </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□其他__________________</w:t>
      </w:r>
    </w:p>
    <w:p>
      <w:pPr>
        <w:numPr>
          <w:ilvl w:val="0"/>
          <w:numId w:val="0"/>
        </w:numPr>
        <w:shd w:val="clear" w:color="auto" w:fill="auto"/>
        <w:spacing w:line="360" w:lineRule="auto"/>
        <w:outlineLvl w:val="9"/>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3.贵单位目前招人最大的挑战是（多选）</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□对口专业人才短缺       □薪酬竞争力不足，用工成本高  </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□技能与岗位要求不匹配   □缺乏高效的简历筛选工具  </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□人才结构和产业结构不匹配  □教育、医疗等周边配套设施不足 □其他___</w:t>
      </w:r>
    </w:p>
    <w:p>
      <w:pPr>
        <w:numPr>
          <w:ilvl w:val="0"/>
          <w:numId w:val="0"/>
        </w:numPr>
        <w:shd w:val="clear" w:color="auto" w:fill="auto"/>
        <w:spacing w:line="360" w:lineRule="auto"/>
        <w:outlineLvl w:val="9"/>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4.贵单位参加过哪些相关的人才招聘活动（多选）</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□就业驿站  □公益类招聘会  □人才对接会  □进校园招才活动</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□其他___________________________________________________</w:t>
      </w:r>
    </w:p>
    <w:p>
      <w:pPr>
        <w:numPr>
          <w:ilvl w:val="0"/>
          <w:numId w:val="0"/>
        </w:numPr>
        <w:shd w:val="clear" w:color="auto" w:fill="auto"/>
        <w:spacing w:line="360" w:lineRule="auto"/>
        <w:outlineLvl w:val="9"/>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5.贵单位的人才储备计划中，急需或更倾向于储备哪类人才（多选）</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□管理类  □技术技能类  □研发创新类 □营销类  □其他______________</w:t>
      </w:r>
    </w:p>
    <w:p>
      <w:pPr>
        <w:numPr>
          <w:ilvl w:val="0"/>
          <w:numId w:val="0"/>
        </w:numPr>
        <w:shd w:val="clear" w:color="auto" w:fill="auto"/>
        <w:spacing w:line="360" w:lineRule="auto"/>
        <w:outlineLvl w:val="9"/>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6.贵单位希望政府提供哪些扶持和帮助（多选）</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□促进校企合作  □资金扶持 □建立产业人才数据库  □支持行业技能培训</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□简化高层次人才落户流程  □产业发展支持   □搭建人才供需平台</w:t>
      </w:r>
    </w:p>
    <w:p>
      <w:pPr>
        <w:numPr>
          <w:ilvl w:val="0"/>
          <w:numId w:val="0"/>
        </w:numPr>
        <w:shd w:val="clear" w:color="auto" w:fill="auto"/>
        <w:spacing w:line="360" w:lineRule="auto"/>
        <w:ind w:firstLine="240" w:firstLineChars="100"/>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□其他__________________</w:t>
      </w:r>
    </w:p>
    <w:p>
      <w:pPr>
        <w:numPr>
          <w:ilvl w:val="0"/>
          <w:numId w:val="0"/>
        </w:numPr>
        <w:spacing w:line="360" w:lineRule="auto"/>
        <w:outlineLvl w:val="9"/>
        <w:rPr>
          <w:rFonts w:hint="eastAsia" w:ascii="黑体" w:hAnsi="黑体" w:eastAsia="黑体" w:cs="黑体"/>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 xml:space="preserve"> </w:t>
      </w:r>
      <w:r>
        <w:rPr>
          <w:rFonts w:hint="eastAsia" w:ascii="黑体" w:hAnsi="黑体" w:eastAsia="黑体" w:cs="黑体"/>
          <w:b w:val="0"/>
          <w:bCs w:val="0"/>
          <w:color w:val="000000" w:themeColor="text1"/>
          <w:sz w:val="24"/>
          <w:highlight w:val="none"/>
          <w:lang w:val="en-US" w:eastAsia="zh-CN"/>
          <w14:textFill>
            <w14:solidFill>
              <w14:schemeClr w14:val="tx1"/>
            </w14:solidFill>
          </w14:textFill>
        </w:rPr>
        <w:t>四、</w:t>
      </w:r>
      <w:r>
        <w:rPr>
          <w:rFonts w:hint="eastAsia" w:ascii="黑体" w:hAnsi="黑体" w:eastAsia="黑体" w:cs="黑体"/>
          <w:b w:val="0"/>
          <w:bCs w:val="0"/>
          <w:color w:val="000000" w:themeColor="text1"/>
          <w:sz w:val="24"/>
          <w:highlight w:val="none"/>
          <w14:textFill>
            <w14:solidFill>
              <w14:schemeClr w14:val="tx1"/>
            </w14:solidFill>
          </w14:textFill>
        </w:rPr>
        <w:t>贵</w:t>
      </w:r>
      <w:r>
        <w:rPr>
          <w:rFonts w:hint="eastAsia" w:ascii="黑体" w:hAnsi="黑体" w:eastAsia="黑体" w:cs="黑体"/>
          <w:b w:val="0"/>
          <w:bCs w:val="0"/>
          <w:color w:val="000000" w:themeColor="text1"/>
          <w:sz w:val="24"/>
          <w:highlight w:val="none"/>
          <w:lang w:eastAsia="zh-CN"/>
          <w14:textFill>
            <w14:solidFill>
              <w14:schemeClr w14:val="tx1"/>
            </w14:solidFill>
          </w14:textFill>
        </w:rPr>
        <w:t>单位</w:t>
      </w:r>
      <w:r>
        <w:rPr>
          <w:rFonts w:hint="eastAsia" w:ascii="黑体" w:hAnsi="黑体" w:eastAsia="黑体" w:cs="黑体"/>
          <w:b w:val="0"/>
          <w:bCs w:val="0"/>
          <w:color w:val="000000" w:themeColor="text1"/>
          <w:sz w:val="24"/>
          <w:highlight w:val="none"/>
          <w14:textFill>
            <w14:solidFill>
              <w14:schemeClr w14:val="tx1"/>
            </w14:solidFill>
          </w14:textFill>
        </w:rPr>
        <w:t>在人才引进方面遇到哪些主要问题，希望政府给予哪些扶持，请说明：</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none"/>
          <w14:textFill>
            <w14:solidFill>
              <w14:schemeClr w14:val="tx1"/>
            </w14:solidFill>
          </w14:textFill>
        </w:rPr>
        <w:t>主要问题：</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none"/>
          <w14:textFill>
            <w14:solidFill>
              <w14:schemeClr w14:val="tx1"/>
            </w14:solidFill>
          </w14:textFill>
        </w:rPr>
        <w:t>政府扶持：</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p>
    <w:p>
      <w:pPr>
        <w:bidi w:val="0"/>
        <w:rPr>
          <w:rFonts w:hint="eastAsia"/>
          <w:color w:val="000000" w:themeColor="text1"/>
          <w:highlight w:val="none"/>
          <w:lang w:val="en-US" w:eastAsia="zh-CN"/>
          <w14:textFill>
            <w14:solidFill>
              <w14:schemeClr w14:val="tx1"/>
            </w14:solidFill>
          </w14:textFill>
        </w:rPr>
      </w:pPr>
    </w:p>
    <w:p>
      <w:pPr>
        <w:bidi w:val="0"/>
        <w:rPr>
          <w:rFonts w:hint="eastAsia"/>
          <w:color w:val="000000" w:themeColor="text1"/>
          <w:highlight w:val="none"/>
          <w:lang w:val="en-US" w:eastAsia="zh-CN"/>
          <w14:textFill>
            <w14:solidFill>
              <w14:schemeClr w14:val="tx1"/>
            </w14:solidFill>
          </w14:textFill>
        </w:rPr>
      </w:pPr>
    </w:p>
    <w:p>
      <w:pPr>
        <w:bidi w:val="0"/>
        <w:rPr>
          <w:rFonts w:hint="eastAsia"/>
          <w:color w:val="000000" w:themeColor="text1"/>
          <w:highlight w:val="none"/>
          <w:lang w:val="en-US" w:eastAsia="zh-CN"/>
          <w14:textFill>
            <w14:solidFill>
              <w14:schemeClr w14:val="tx1"/>
            </w14:solidFill>
          </w14:textFill>
        </w:rPr>
      </w:pPr>
    </w:p>
    <w:p>
      <w:pPr>
        <w:bidi w:val="0"/>
        <w:rPr>
          <w:rFonts w:hint="eastAsia"/>
          <w:color w:val="000000" w:themeColor="text1"/>
          <w:highlight w:val="none"/>
          <w:lang w:val="en-US" w:eastAsia="zh-CN"/>
          <w14:textFill>
            <w14:solidFill>
              <w14:schemeClr w14:val="tx1"/>
            </w14:solidFill>
          </w14:textFill>
        </w:rPr>
      </w:pPr>
    </w:p>
    <w:p>
      <w:pPr>
        <w:bidi w:val="0"/>
        <w:rPr>
          <w:rFonts w:hint="eastAsia"/>
          <w:color w:val="000000" w:themeColor="text1"/>
          <w:highlight w:val="none"/>
          <w:lang w:val="en-US" w:eastAsia="zh-CN"/>
          <w14:textFill>
            <w14:solidFill>
              <w14:schemeClr w14:val="tx1"/>
            </w14:solidFill>
          </w14:textFill>
        </w:rPr>
      </w:pPr>
    </w:p>
    <w:p>
      <w:pPr>
        <w:bidi w:val="0"/>
        <w:rPr>
          <w:rFonts w:hint="eastAsia"/>
          <w:color w:val="000000" w:themeColor="text1"/>
          <w:highlight w:val="none"/>
          <w:lang w:val="en-US" w:eastAsia="zh-CN"/>
          <w14:textFill>
            <w14:solidFill>
              <w14:schemeClr w14:val="tx1"/>
            </w14:solidFill>
          </w14:textFill>
        </w:rPr>
      </w:pPr>
    </w:p>
    <w:p>
      <w:pPr>
        <w:jc w:val="center"/>
        <w:outlineLvl w:val="9"/>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pPr>
    </w:p>
    <w:p>
      <w:pPr>
        <w:jc w:val="center"/>
        <w:outlineLvl w:val="9"/>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pPr>
    </w:p>
    <w:p>
      <w:pPr>
        <w:jc w:val="center"/>
        <w:outlineLvl w:val="9"/>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pPr>
    </w:p>
    <w:p>
      <w:pPr>
        <w:jc w:val="center"/>
        <w:outlineLvl w:val="9"/>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t>海南省</w:t>
      </w:r>
      <w:r>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t>旅游文化体育广电及文物行业</w:t>
      </w:r>
      <w:r>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t>人才</w:t>
      </w:r>
      <w:r>
        <w:rPr>
          <w:rFonts w:hint="eastAsia" w:ascii="方正小标宋_GBK" w:hAnsi="方正小标宋_GBK" w:eastAsia="方正小标宋_GBK" w:cs="方正小标宋_GBK"/>
          <w:color w:val="000000" w:themeColor="text1"/>
          <w:sz w:val="32"/>
          <w:szCs w:val="32"/>
          <w:highlight w:val="none"/>
          <w:lang w:val="en-US" w:eastAsia="zh-CN"/>
          <w14:textFill>
            <w14:solidFill>
              <w14:schemeClr w14:val="tx1"/>
            </w14:solidFill>
          </w14:textFill>
        </w:rPr>
        <w:t>统计</w:t>
      </w:r>
      <w:r>
        <w:rPr>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t>调查表</w:t>
      </w:r>
    </w:p>
    <w:p>
      <w:pPr>
        <w:spacing w:line="360" w:lineRule="auto"/>
        <w:jc w:val="center"/>
        <w:outlineLvl w:val="9"/>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个人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jc w:val="center"/>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default" w:ascii="仿宋_GB2312" w:hAnsi="仿宋_GB2312" w:eastAsia="仿宋_GB2312" w:cs="仿宋_GB2312"/>
          <w:color w:val="000000" w:themeColor="text1"/>
          <w:sz w:val="24"/>
          <w:highlight w:val="none"/>
          <w:lang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表    号：</w:t>
      </w:r>
      <w:r>
        <w:rPr>
          <w:rFonts w:hint="default" w:ascii="仿宋_GB2312" w:hAnsi="仿宋_GB2312" w:eastAsia="仿宋_GB2312" w:cs="仿宋_GB2312"/>
          <w:color w:val="000000" w:themeColor="text1"/>
          <w:sz w:val="24"/>
          <w:highlight w:val="none"/>
          <w:lang w:val="en"/>
          <w14:textFill>
            <w14:solidFill>
              <w14:schemeClr w14:val="tx1"/>
            </w14:solidFill>
          </w14:textFill>
        </w:rPr>
        <w:t>LVRC002</w:t>
      </w:r>
    </w:p>
    <w:p>
      <w:pPr>
        <w:ind w:firstLine="480"/>
        <w:jc w:val="center"/>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制定机关：海南省</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旅游和文化广电体育厅</w:t>
      </w:r>
    </w:p>
    <w:p>
      <w:pPr>
        <w:ind w:firstLine="480"/>
        <w:jc w:val="center"/>
        <w:outlineLvl w:val="9"/>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批准机关：</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pPr>
        <w:ind w:firstLine="480"/>
        <w:jc w:val="center"/>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批准文号：</w:t>
      </w:r>
    </w:p>
    <w:p>
      <w:pPr>
        <w:spacing w:line="240" w:lineRule="auto"/>
        <w:jc w:val="center"/>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有效期至：</w:t>
      </w:r>
    </w:p>
    <w:p>
      <w:pPr>
        <w:spacing w:line="360" w:lineRule="auto"/>
        <w:ind w:firstLine="480"/>
        <w:outlineLvl w:val="9"/>
        <w:rPr>
          <w:rFonts w:hint="eastAsia" w:ascii="仿宋_GB2312" w:hAnsi="仿宋_GB2312" w:eastAsia="仿宋_GB2312" w:cs="仿宋_GB2312"/>
          <w:color w:val="000000" w:themeColor="text1"/>
          <w:sz w:val="24"/>
          <w:highlight w:val="none"/>
          <w14:textFill>
            <w14:solidFill>
              <w14:schemeClr w14:val="tx1"/>
            </w14:solidFill>
          </w14:textFill>
        </w:rPr>
      </w:pP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1</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.性别</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男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女</w:t>
      </w:r>
    </w:p>
    <w:p>
      <w:pPr>
        <w:spacing w:line="360" w:lineRule="auto"/>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2.年龄：</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18-30岁</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31-45岁</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46-</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55</w:t>
      </w:r>
      <w:r>
        <w:rPr>
          <w:rFonts w:hint="eastAsia" w:ascii="仿宋_GB2312" w:hAnsi="仿宋_GB2312" w:eastAsia="仿宋_GB2312" w:cs="仿宋_GB2312"/>
          <w:color w:val="000000" w:themeColor="text1"/>
          <w:sz w:val="24"/>
          <w:highlight w:val="none"/>
          <w14:textFill>
            <w14:solidFill>
              <w14:schemeClr w14:val="tx1"/>
            </w14:solidFill>
          </w14:textFill>
        </w:rPr>
        <w:t>岁</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55</w:t>
      </w:r>
      <w:r>
        <w:rPr>
          <w:rFonts w:hint="eastAsia" w:ascii="仿宋_GB2312" w:hAnsi="仿宋_GB2312" w:eastAsia="仿宋_GB2312" w:cs="仿宋_GB2312"/>
          <w:color w:val="000000" w:themeColor="text1"/>
          <w:sz w:val="24"/>
          <w:highlight w:val="none"/>
          <w14:textFill>
            <w14:solidFill>
              <w14:schemeClr w14:val="tx1"/>
            </w14:solidFill>
          </w14:textFill>
        </w:rPr>
        <w:t>岁以上</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 </w:t>
      </w:r>
    </w:p>
    <w:p>
      <w:pPr>
        <w:spacing w:line="360" w:lineRule="auto"/>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3.学历：</w:t>
      </w:r>
      <w:r>
        <w:rPr>
          <w:rFonts w:hint="eastAsia" w:ascii="仿宋_GB2312" w:hAnsi="仿宋_GB2312" w:eastAsia="仿宋_GB2312" w:cs="仿宋_GB2312"/>
          <w:color w:val="000000" w:themeColor="text1"/>
          <w:sz w:val="24"/>
          <w:highlight w:val="none"/>
          <w14:textFill>
            <w14:solidFill>
              <w14:schemeClr w14:val="tx1"/>
            </w14:solidFill>
          </w14:textFill>
        </w:rPr>
        <w:t>□高中及中专以下</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□大专</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本科</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研究生及以上</w:t>
      </w:r>
    </w:p>
    <w:p>
      <w:pPr>
        <w:spacing w:line="360" w:lineRule="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default" w:ascii="仿宋_GB2312" w:hAnsi="仿宋_GB2312" w:eastAsia="仿宋_GB2312" w:cs="仿宋_GB2312"/>
          <w:b w:val="0"/>
          <w:bCs w:val="0"/>
          <w:color w:val="000000" w:themeColor="text1"/>
          <w:sz w:val="24"/>
          <w:highlight w:val="none"/>
          <w:lang w:eastAsia="zh-CN"/>
          <w14:textFill>
            <w14:solidFill>
              <w14:schemeClr w14:val="tx1"/>
            </w14:solidFill>
          </w14:textFill>
        </w:rPr>
        <w:t>所在单位名称：</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工作地址：</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5.您的工作所在行业：</w:t>
      </w:r>
    </w:p>
    <w:tbl>
      <w:tblPr>
        <w:tblStyle w:val="16"/>
        <w:tblW w:w="91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8"/>
        <w:gridCol w:w="667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3" w:hRule="atLeast"/>
          <w:jc w:val="center"/>
        </w:trPr>
        <w:tc>
          <w:tcPr>
            <w:tcW w:w="1478"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left"/>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旅游行业</w:t>
            </w:r>
          </w:p>
        </w:tc>
        <w:tc>
          <w:tcPr>
            <w:tcW w:w="6675"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旅游餐饮；</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旅游住宿；</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旅游出行；</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旅游游览；</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旅游购物；</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旅游娱乐；</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旅游辅助服务；</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旅游综合服务；</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旅游管理服务；</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478"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left"/>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体育行业</w:t>
            </w:r>
          </w:p>
        </w:tc>
        <w:tc>
          <w:tcPr>
            <w:tcW w:w="6675"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体育管理活动；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体育竞赛表演活动；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体育健身休闲活动；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体育场地和设施管理；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体育经纪与代理、广告与会展、表演与设计服务；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体育教育与培训；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体育传媒与信息服务；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其他体育服务；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体育用品及相关产品制造；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体育用品及相关产品销售、出租与贸易代理；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体育场地设施建设；</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1478"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left"/>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文化行业</w:t>
            </w:r>
          </w:p>
        </w:tc>
        <w:tc>
          <w:tcPr>
            <w:tcW w:w="6675"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新闻和出版业；</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文化艺术业；</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工艺美术品制造；</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文化投资运营；</w:t>
            </w:r>
          </w:p>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文化经纪代理服务；</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文化科研培训服务；</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1478"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left"/>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广电行业</w:t>
            </w:r>
          </w:p>
        </w:tc>
        <w:tc>
          <w:tcPr>
            <w:tcW w:w="6675"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广播电视节目制作；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广播电视节目播出；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广播电视传输； </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广播电视电影设备制造及销售；</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1478"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jc w:val="left"/>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 xml:space="preserve"> 文物行业</w:t>
            </w:r>
          </w:p>
        </w:tc>
        <w:tc>
          <w:tcPr>
            <w:tcW w:w="6675" w:type="dxa"/>
            <w:tcBorders>
              <w:top w:val="single" w:color="auto" w:sz="4" w:space="0"/>
              <w:left w:val="nil"/>
              <w:bottom w:val="single" w:color="auto" w:sz="4" w:space="0"/>
              <w:right w:val="single" w:color="auto" w:sz="4" w:space="0"/>
            </w:tcBorders>
            <w:shd w:val="clear" w:color="auto" w:fill="FFFFFF"/>
            <w:noWrap w:val="0"/>
            <w:vAlign w:val="center"/>
          </w:tcPr>
          <w:p>
            <w:pPr>
              <w:pStyle w:val="9"/>
              <w:spacing w:line="240" w:lineRule="auto"/>
              <w:ind w:firstLine="0" w:firstLineChars="0"/>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文化传承与保护；</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博物馆、纪念馆等文化场馆运营；</w:t>
            </w:r>
            <w:r>
              <w:rPr>
                <w:rFonts w:hint="eastAsia" w:ascii="仿宋_GB2312" w:hAnsi="仿宋_GB2312" w:eastAsia="仿宋_GB2312" w:cs="仿宋_GB2312"/>
                <w:color w:val="000000" w:themeColor="text1"/>
                <w:kern w:val="0"/>
                <w:sz w:val="18"/>
                <w:szCs w:val="1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文物艺术品交易；</w:t>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highlight w:val="none"/>
                <w:lang w:val="en-US" w:eastAsia="zh-CN"/>
                <w14:textFill>
                  <w14:solidFill>
                    <w14:schemeClr w14:val="tx1"/>
                  </w14:solidFill>
                </w14:textFill>
              </w:rPr>
              <w:t>其他。</w:t>
            </w:r>
          </w:p>
        </w:tc>
      </w:tr>
    </w:tbl>
    <w:p>
      <w:pPr>
        <w:spacing w:line="360" w:lineRule="auto"/>
        <w:outlineLvl w:val="9"/>
        <w:rPr>
          <w:rFonts w:hint="default" w:ascii="仿宋_GB2312" w:hAnsi="仿宋_GB2312" w:eastAsia="仿宋_GB2312" w:cs="仿宋_GB2312"/>
          <w:b w:val="0"/>
          <w:bCs w:val="0"/>
          <w:color w:val="000000" w:themeColor="text1"/>
          <w:sz w:val="24"/>
          <w:highlight w:val="none"/>
          <w:lang w:eastAsia="zh-CN"/>
          <w14:textFill>
            <w14:solidFill>
              <w14:schemeClr w14:val="tx1"/>
            </w14:solidFill>
          </w14:textFill>
        </w:rPr>
      </w:pPr>
      <w:r>
        <w:rPr>
          <w:rFonts w:hint="default" w:ascii="仿宋_GB2312" w:hAnsi="仿宋_GB2312" w:eastAsia="仿宋_GB2312" w:cs="仿宋_GB2312"/>
          <w:b w:val="0"/>
          <w:bCs w:val="0"/>
          <w:color w:val="000000" w:themeColor="text1"/>
          <w:sz w:val="24"/>
          <w:highlight w:val="none"/>
          <w:lang w:eastAsia="zh-CN"/>
          <w14:textFill>
            <w14:solidFill>
              <w14:schemeClr w14:val="tx1"/>
            </w14:solidFill>
          </w14:textFill>
        </w:rPr>
        <w:t xml:space="preserve">                 </w:t>
      </w:r>
    </w:p>
    <w:p>
      <w:pPr>
        <w:spacing w:line="360" w:lineRule="auto"/>
        <w:outlineLvl w:val="9"/>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6.所在单位性质</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w:t>
      </w:r>
    </w:p>
    <w:p>
      <w:pPr>
        <w:spacing w:line="360" w:lineRule="auto"/>
        <w:outlineLvl w:val="9"/>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sym w:font="Wingdings 2" w:char="00A3"/>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政府部门</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及事业单位</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国有企业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民营企业</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外资企业 </w:t>
      </w:r>
    </w:p>
    <w:p>
      <w:pPr>
        <w:spacing w:line="360" w:lineRule="auto"/>
        <w:outlineLvl w:val="9"/>
        <w:rPr>
          <w:rFonts w:hint="eastAsia" w:ascii="仿宋_GB2312" w:hAnsi="仿宋_GB2312" w:eastAsia="仿宋_GB2312" w:cs="仿宋_GB2312"/>
          <w:b w:val="0"/>
          <w:bCs w:val="0"/>
          <w:color w:val="000000" w:themeColor="text1"/>
          <w:sz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合资</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企业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社会团体</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sym w:font="Wingdings 2" w:char="00A3"/>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其他</w:t>
      </w:r>
      <w:r>
        <w:rPr>
          <w:rFonts w:hint="eastAsia" w:ascii="仿宋_GB2312" w:hAnsi="仿宋_GB2312" w:eastAsia="仿宋_GB2312" w:cs="仿宋_GB2312"/>
          <w:b w:val="0"/>
          <w:bCs w:val="0"/>
          <w:color w:val="000000" w:themeColor="text1"/>
          <w:sz w:val="24"/>
          <w:highlight w:val="none"/>
          <w:u w:val="single"/>
          <w:lang w:val="en-US" w:eastAsia="zh-CN"/>
          <w14:textFill>
            <w14:solidFill>
              <w14:schemeClr w14:val="tx1"/>
            </w14:solidFill>
          </w14:textFill>
        </w:rPr>
        <w:t xml:space="preserve">                  </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7.您在海南参加工作的年份</w:t>
      </w:r>
    </w:p>
    <w:p>
      <w:pPr>
        <w:spacing w:line="360" w:lineRule="auto"/>
        <w:outlineLvl w:val="9"/>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2010年1月及以前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2010年2月-2018年4月</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2018年5月-2020年6月</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2020年7月至今</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8.您的就业方式：</w:t>
      </w:r>
    </w:p>
    <w:p>
      <w:pPr>
        <w:spacing w:line="360" w:lineRule="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自主创业；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应届毕业生留琼；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高层次人才引进；</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兼职工作；</w:t>
      </w:r>
    </w:p>
    <w:p>
      <w:pPr>
        <w:spacing w:line="360" w:lineRule="auto"/>
        <w:outlineLvl w:val="9"/>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实习/见习；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项目制合作；</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其他：</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9.您的专业技术职称是（选择您具有的最高专业职称）：</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初级职称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中级职称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 xml:space="preserve">高级职称  </w:t>
      </w:r>
    </w:p>
    <w:p>
      <w:pPr>
        <w:spacing w:line="360" w:lineRule="auto"/>
        <w:outlineLvl w:val="9"/>
        <w:rPr>
          <w:rFonts w:hint="eastAsia" w:ascii="仿宋_GB2312" w:hAnsi="仿宋_GB2312" w:eastAsia="仿宋_GB2312" w:cs="仿宋_GB2312"/>
          <w:b w:val="0"/>
          <w:bCs w:val="0"/>
          <w:color w:val="000000" w:themeColor="text1"/>
          <w:sz w:val="24"/>
          <w:highlight w:val="none"/>
          <w:u w:val="singl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请填写您的职称专业：</w:t>
      </w:r>
      <w:r>
        <w:rPr>
          <w:rFonts w:hint="eastAsia" w:ascii="仿宋_GB2312" w:hAnsi="仿宋_GB2312" w:eastAsia="仿宋_GB2312" w:cs="仿宋_GB2312"/>
          <w:b w:val="0"/>
          <w:bCs w:val="0"/>
          <w:color w:val="000000" w:themeColor="text1"/>
          <w:sz w:val="24"/>
          <w:highlight w:val="none"/>
          <w:u w:val="single"/>
          <w:lang w:val="en-US" w:eastAsia="zh-CN"/>
          <w14:textFill>
            <w14:solidFill>
              <w14:schemeClr w14:val="tx1"/>
            </w14:solidFill>
          </w14:textFill>
        </w:rPr>
        <w:t xml:space="preserve">                                  </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10.您是否拥有国家职业资格证书：</w:t>
      </w:r>
    </w:p>
    <w:p>
      <w:pPr>
        <w:numPr>
          <w:ilvl w:val="0"/>
          <w:numId w:val="0"/>
        </w:num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是</w:t>
      </w:r>
    </w:p>
    <w:p>
      <w:pPr>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取得等级为：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首席技师</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特级技师</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高级/一级技师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技师/二级</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高级工/三级</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中级工/四级</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初级工/五级</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学徒工</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pPr>
        <w:numPr>
          <w:ilvl w:val="0"/>
          <w:numId w:val="0"/>
        </w:numPr>
        <w:spacing w:line="360" w:lineRule="auto"/>
        <w:outlineLvl w:val="9"/>
        <w:rPr>
          <w:rFonts w:hint="eastAsia" w:ascii="仿宋_GB2312" w:hAnsi="仿宋_GB2312" w:eastAsia="仿宋_GB2312" w:cs="仿宋_GB2312"/>
          <w:b w:val="0"/>
          <w:bCs w:val="0"/>
          <w:color w:val="000000" w:themeColor="text1"/>
          <w:sz w:val="24"/>
          <w:highlight w:val="none"/>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其证书名称是：</w:t>
      </w:r>
      <w:r>
        <w:rPr>
          <w:rFonts w:hint="eastAsia" w:ascii="仿宋_GB2312" w:hAnsi="仿宋_GB2312" w:eastAsia="仿宋_GB2312" w:cs="仿宋_GB2312"/>
          <w:b w:val="0"/>
          <w:bCs w:val="0"/>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u w:val="none"/>
          <w:lang w:val="en-US" w:eastAsia="zh-CN"/>
          <w14:textFill>
            <w14:solidFill>
              <w14:schemeClr w14:val="tx1"/>
            </w14:solidFill>
          </w14:textFill>
        </w:rPr>
        <w:t xml:space="preserve"> </w:t>
      </w:r>
    </w:p>
    <w:p>
      <w:pPr>
        <w:numPr>
          <w:ilvl w:val="0"/>
          <w:numId w:val="0"/>
        </w:num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u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sym w:font="Wingdings 2" w:char="00A3"/>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否</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11.您在贵单位属于：</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高层人员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中层人员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sym w:font="Wingdings 2" w:char="00A3"/>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基层人员</w:t>
      </w:r>
    </w:p>
    <w:p>
      <w:pPr>
        <w:spacing w:line="360" w:lineRule="auto"/>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12.您的工作岗位类型属于：</w:t>
      </w:r>
    </w:p>
    <w:p>
      <w:pPr>
        <w:spacing w:line="360" w:lineRule="auto"/>
        <w:outlineLvl w:val="9"/>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管理岗位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销售岗位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专技岗位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行政岗位；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宣传岗位；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IT岗位；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其他</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p>
    <w:p>
      <w:pPr>
        <w:spacing w:line="360" w:lineRule="auto"/>
        <w:outlineLvl w:val="9"/>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具体岗位名称为：</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p>
    <w:p>
      <w:pPr>
        <w:spacing w:line="360" w:lineRule="auto"/>
        <w:outlineLvl w:val="9"/>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13.您在现行业工作年限多少？</w:t>
      </w:r>
    </w:p>
    <w:p>
      <w:pPr>
        <w:spacing w:line="360" w:lineRule="auto"/>
        <w:jc w:val="left"/>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1年内</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1-3年</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年</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sym w:font="Wingdings 2" w:char="00A3"/>
      </w:r>
      <w:r>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-10年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10年以上</w:t>
      </w:r>
    </w:p>
    <w:p>
      <w:pPr>
        <w:spacing w:line="360" w:lineRule="auto"/>
        <w:jc w:val="left"/>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24"/>
          <w:highlight w:val="none"/>
          <w14:textFill>
            <w14:solidFill>
              <w14:schemeClr w14:val="tx1"/>
            </w14:solidFill>
          </w14:textFill>
        </w:rPr>
        <w:t>月平均工资（元）：</w:t>
      </w:r>
    </w:p>
    <w:p>
      <w:pPr>
        <w:spacing w:line="360" w:lineRule="auto"/>
        <w:jc w:val="left"/>
        <w:outlineLvl w:val="9"/>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3000</w:t>
      </w:r>
      <w:r>
        <w:rPr>
          <w:rFonts w:hint="eastAsia" w:ascii="仿宋_GB2312" w:hAnsi="仿宋_GB2312" w:eastAsia="仿宋_GB2312" w:cs="仿宋_GB2312"/>
          <w:color w:val="000000" w:themeColor="text1"/>
          <w:sz w:val="24"/>
          <w:highlight w:val="none"/>
          <w14:textFill>
            <w14:solidFill>
              <w14:schemeClr w14:val="tx1"/>
            </w14:solidFill>
          </w14:textFill>
        </w:rPr>
        <w:t>以</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下</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3000-5000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001-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000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001-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000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sym w:font="Wingdings 2" w:char="00A3"/>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24"/>
          <w:highlight w:val="none"/>
          <w14:textFill>
            <w14:solidFill>
              <w14:schemeClr w14:val="tx1"/>
            </w14:solidFill>
          </w14:textFill>
        </w:rPr>
        <w:t>001以上</w:t>
      </w:r>
    </w:p>
    <w:p>
      <w:pPr>
        <w:numPr>
          <w:ilvl w:val="0"/>
          <w:numId w:val="0"/>
        </w:numPr>
        <w:spacing w:line="360" w:lineRule="auto"/>
        <w:jc w:val="left"/>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15.您近五年工作单位有几个？</w:t>
      </w:r>
    </w:p>
    <w:p>
      <w:pPr>
        <w:numPr>
          <w:ilvl w:val="0"/>
          <w:numId w:val="0"/>
        </w:numPr>
        <w:spacing w:line="360" w:lineRule="auto"/>
        <w:jc w:val="left"/>
        <w:outlineLvl w:val="9"/>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1个</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2个</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3个及</w:t>
      </w:r>
      <w:r>
        <w:rPr>
          <w:rFonts w:hint="eastAsia" w:ascii="仿宋_GB2312" w:hAnsi="仿宋_GB2312" w:eastAsia="仿宋_GB2312" w:cs="仿宋_GB2312"/>
          <w:color w:val="000000" w:themeColor="text1"/>
          <w:sz w:val="24"/>
          <w:highlight w:val="none"/>
          <w14:textFill>
            <w14:solidFill>
              <w14:schemeClr w14:val="tx1"/>
            </w14:solidFill>
          </w14:textFill>
        </w:rPr>
        <w:t>以上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15-1.导致您更换单位的主要原因是（可多选）：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薪酬待遇低；</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职业发展与个人规划不符；</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晋升困难；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行业发展不明朗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家庭原因；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客观被动原因；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其他:</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您最关心海南出台支持人才的相关政策有哪些？（可多选）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 xml:space="preserve">□医疗政策     □教育政策     □住房保障     □户籍政策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 xml:space="preserve">个人所得税政策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重点人才奖励政策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其他</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p>
    <w:p>
      <w:pPr>
        <w:spacing w:line="360" w:lineRule="auto"/>
        <w:jc w:val="left"/>
        <w:outlineLvl w:val="9"/>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17.您认为您所在单位对人才培养的重视程度如何？</w:t>
      </w:r>
    </w:p>
    <w:p>
      <w:pPr>
        <w:spacing w:line="360" w:lineRule="auto"/>
        <w:jc w:val="left"/>
        <w:outlineLvl w:val="9"/>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□非常重视     □重视      □一般       □不重视</w:t>
      </w:r>
    </w:p>
    <w:p>
      <w:pPr>
        <w:numPr>
          <w:ilvl w:val="0"/>
          <w:numId w:val="0"/>
        </w:numPr>
        <w:spacing w:line="360" w:lineRule="auto"/>
        <w:jc w:val="left"/>
        <w:outlineLvl w:val="9"/>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18.您对现行业就业环境的评价是否满意？</w:t>
      </w:r>
    </w:p>
    <w:p>
      <w:pPr>
        <w:spacing w:line="360" w:lineRule="auto"/>
        <w:jc w:val="left"/>
        <w:outlineLvl w:val="9"/>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□非常满意    □满意      □一般      □不满意    □非常不满意</w:t>
      </w:r>
    </w:p>
    <w:p>
      <w:pPr>
        <w:numPr>
          <w:ilvl w:val="0"/>
          <w:numId w:val="0"/>
        </w:numPr>
        <w:spacing w:line="360" w:lineRule="auto"/>
        <w:jc w:val="left"/>
        <w:outlineLvl w:val="9"/>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none"/>
          <w:lang w:val="en-US" w:eastAsia="zh-CN"/>
          <w14:textFill>
            <w14:solidFill>
              <w14:schemeClr w14:val="tx1"/>
            </w14:solidFill>
          </w14:textFill>
        </w:rPr>
        <w:t>19.您对海南省旅游、文化、体育、广电、文物等行业人才发展有哪些意见或建议？</w:t>
      </w:r>
    </w:p>
    <w:p>
      <w:pPr>
        <w:numPr>
          <w:ilvl w:val="0"/>
          <w:numId w:val="0"/>
        </w:numPr>
        <w:spacing w:line="360" w:lineRule="auto"/>
        <w:jc w:val="left"/>
        <w:outlineLvl w:val="9"/>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t xml:space="preserve">                                                                       </w:t>
      </w:r>
    </w:p>
    <w:p>
      <w:pPr>
        <w:tabs>
          <w:tab w:val="left" w:pos="1360"/>
        </w:tabs>
        <w:bidi w:val="0"/>
        <w:jc w:val="left"/>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line="360" w:lineRule="auto"/>
        <w:ind w:firstLine="0" w:firstLineChars="0"/>
        <w:jc w:val="center"/>
        <w:textAlignment w:val="auto"/>
        <w:rPr>
          <w:rFonts w:hint="eastAsia" w:ascii="黑体" w:hAnsi="黑体" w:eastAsia="黑体" w:cs="黑体"/>
          <w:b w:val="0"/>
          <w:color w:val="000000" w:themeColor="text1"/>
          <w:kern w:val="0"/>
          <w:sz w:val="32"/>
          <w:szCs w:val="32"/>
          <w:highlight w:val="none"/>
          <w14:textFill>
            <w14:solidFill>
              <w14:schemeClr w14:val="tx1"/>
            </w14:solidFill>
          </w14:textFill>
        </w:rPr>
      </w:pPr>
      <w:bookmarkStart w:id="48" w:name="_Toc1578"/>
      <w:bookmarkStart w:id="49" w:name="_Toc18121"/>
      <w:bookmarkStart w:id="50" w:name="_Toc2032700890"/>
      <w: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t>三</w:t>
      </w:r>
      <w:r>
        <w:rPr>
          <w:rFonts w:hint="eastAsia" w:ascii="黑体" w:hAnsi="黑体" w:eastAsia="黑体" w:cs="黑体"/>
          <w:b w:val="0"/>
          <w:color w:val="000000" w:themeColor="text1"/>
          <w:kern w:val="0"/>
          <w:sz w:val="32"/>
          <w:szCs w:val="32"/>
          <w:highlight w:val="none"/>
          <w14:textFill>
            <w14:solidFill>
              <w14:schemeClr w14:val="tx1"/>
            </w14:solidFill>
          </w14:textFill>
        </w:rPr>
        <w:t>、主要指标解释</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b/>
          <w:bCs/>
          <w:color w:val="000000" w:themeColor="text1"/>
          <w:sz w:val="24"/>
          <w:szCs w:val="24"/>
          <w14:textFill>
            <w14:solidFill>
              <w14:schemeClr w14:val="tx1"/>
            </w14:solidFill>
          </w14:textFill>
        </w:rPr>
        <w:t>.统一社会信用代码：</w:t>
      </w:r>
      <w:r>
        <w:rPr>
          <w:rFonts w:hint="eastAsia" w:ascii="仿宋_GB2312" w:hAnsi="仿宋_GB2312" w:eastAsia="仿宋_GB2312" w:cs="仿宋_GB2312"/>
          <w:color w:val="000000" w:themeColor="text1"/>
          <w:sz w:val="24"/>
          <w:szCs w:val="24"/>
          <w14:textFill>
            <w14:solidFill>
              <w14:schemeClr w14:val="tx1"/>
            </w14:solidFill>
          </w14:textFill>
        </w:rPr>
        <w:t>按照企业营业执照或法人登记证书上的统一社会信用代码填写。暂时未领取国家统一代码或不属于国家统一赋码范围的企业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单位</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，由统计部门赋予临时代码。</w:t>
      </w:r>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b/>
          <w:bCs/>
          <w:color w:val="000000" w:themeColor="text1"/>
          <w:sz w:val="24"/>
          <w:szCs w:val="24"/>
          <w14:textFill>
            <w14:solidFill>
              <w14:schemeClr w14:val="tx1"/>
            </w14:solidFill>
          </w14:textFill>
        </w:rPr>
        <w:t>.单位</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详细</w:t>
      </w:r>
      <w:r>
        <w:rPr>
          <w:rFonts w:hint="eastAsia" w:ascii="仿宋_GB2312" w:hAnsi="仿宋_GB2312" w:eastAsia="仿宋_GB2312" w:cs="仿宋_GB2312"/>
          <w:b/>
          <w:bCs/>
          <w:color w:val="000000" w:themeColor="text1"/>
          <w:sz w:val="24"/>
          <w:szCs w:val="24"/>
          <w14:textFill>
            <w14:solidFill>
              <w14:schemeClr w14:val="tx1"/>
            </w14:solidFill>
          </w14:textFill>
        </w:rPr>
        <w:t>名称：</w:t>
      </w:r>
      <w:r>
        <w:rPr>
          <w:rFonts w:hint="eastAsia" w:ascii="仿宋_GB2312" w:hAnsi="仿宋_GB2312" w:eastAsia="仿宋_GB2312" w:cs="仿宋_GB2312"/>
          <w:color w:val="000000" w:themeColor="text1"/>
          <w:sz w:val="24"/>
          <w:szCs w:val="24"/>
          <w14:textFill>
            <w14:solidFill>
              <w14:schemeClr w14:val="tx1"/>
            </w14:solidFill>
          </w14:textFill>
        </w:rPr>
        <w:t>按市场监督管理局登记的名称填写，与企业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单位</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的公章所使用的名称一致。</w:t>
      </w:r>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b/>
          <w:bCs/>
          <w:color w:val="000000" w:themeColor="text1"/>
          <w:sz w:val="24"/>
          <w:szCs w:val="24"/>
          <w14:textFill>
            <w14:solidFill>
              <w14:schemeClr w14:val="tx1"/>
            </w14:solidFill>
          </w14:textFill>
        </w:rPr>
        <w:t>.单位类别：</w:t>
      </w:r>
      <w:r>
        <w:rPr>
          <w:rFonts w:hint="eastAsia" w:ascii="仿宋_GB2312" w:hAnsi="仿宋_GB2312" w:eastAsia="仿宋_GB2312" w:cs="仿宋_GB2312"/>
          <w:color w:val="000000" w:themeColor="text1"/>
          <w:sz w:val="24"/>
          <w:szCs w:val="24"/>
          <w14:textFill>
            <w14:solidFill>
              <w14:schemeClr w14:val="tx1"/>
            </w14:solidFill>
          </w14:textFill>
        </w:rPr>
        <w:t>分为法人单位和产业活动单位。法人单位必须具备三个基本条件的单位，即a、依法成立</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有自己的名称、组织机构和场所，能够独立承担民事责任；b、独立拥有和使用（或授权使用）资产，承担负债，有权与其他</w:t>
      </w:r>
      <w:r>
        <w:rPr>
          <w:rFonts w:hint="eastAsia" w:ascii="仿宋_GB2312" w:hAnsi="仿宋_GB2312" w:eastAsia="仿宋_GB2312" w:cs="仿宋_GB2312"/>
          <w:color w:val="000000" w:themeColor="text1"/>
          <w:sz w:val="24"/>
          <w:szCs w:val="24"/>
          <w:lang w:eastAsia="zh-CN"/>
          <w14:textFill>
            <w14:solidFill>
              <w14:schemeClr w14:val="tx1"/>
            </w14:solidFill>
          </w14:textFill>
        </w:rPr>
        <w:t>单位签订合同</w:t>
      </w:r>
      <w:r>
        <w:rPr>
          <w:rFonts w:hint="eastAsia" w:ascii="仿宋_GB2312" w:hAnsi="仿宋_GB2312" w:eastAsia="仿宋_GB2312" w:cs="仿宋_GB2312"/>
          <w:color w:val="000000" w:themeColor="text1"/>
          <w:sz w:val="24"/>
          <w:szCs w:val="24"/>
          <w14:textFill>
            <w14:solidFill>
              <w14:schemeClr w14:val="tx1"/>
            </w14:solidFill>
          </w14:textFill>
        </w:rPr>
        <w:t>；c、会计上独立核算，能够编制资产负债表。产业活动单位指不具备法人单位的三个条件，但具备以下三个基本条件的单位，即a、在一个场所从事一种或主要从事一种社会经济活动；b、相对独立组织生产经济或业务活动；c、能够掌握收入和支出等业务核算资料。</w:t>
      </w:r>
    </w:p>
    <w:p>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b/>
          <w:bCs/>
          <w:color w:val="000000" w:themeColor="text1"/>
          <w:sz w:val="24"/>
          <w:szCs w:val="24"/>
          <w14:textFill>
            <w14:solidFill>
              <w14:schemeClr w14:val="tx1"/>
            </w14:solidFill>
          </w14:textFill>
        </w:rPr>
        <w:t>.单位地址：</w:t>
      </w:r>
      <w:r>
        <w:rPr>
          <w:rFonts w:hint="eastAsia" w:ascii="仿宋_GB2312" w:hAnsi="仿宋_GB2312" w:eastAsia="仿宋_GB2312" w:cs="仿宋_GB2312"/>
          <w:color w:val="000000" w:themeColor="text1"/>
          <w:sz w:val="24"/>
          <w:szCs w:val="24"/>
          <w14:textFill>
            <w14:solidFill>
              <w14:schemeClr w14:val="tx1"/>
            </w14:solidFill>
          </w14:textFill>
        </w:rPr>
        <w:t>按照企业</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实际经营地</w:t>
      </w:r>
      <w:r>
        <w:rPr>
          <w:rFonts w:hint="eastAsia" w:ascii="仿宋_GB2312" w:hAnsi="仿宋_GB2312" w:eastAsia="仿宋_GB2312" w:cs="仿宋_GB2312"/>
          <w:color w:val="000000" w:themeColor="text1"/>
          <w:sz w:val="24"/>
          <w:szCs w:val="24"/>
          <w14:textFill>
            <w14:solidFill>
              <w14:schemeClr w14:val="tx1"/>
            </w14:solidFill>
          </w14:textFill>
        </w:rPr>
        <w:t>的地址填写。</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5.行业类型</w:t>
      </w:r>
      <w:r>
        <w:rPr>
          <w:rFonts w:hint="eastAsia" w:ascii="仿宋_GB2312" w:hAnsi="仿宋_GB2312" w:eastAsia="仿宋_GB2312" w:cs="仿宋_GB2312"/>
          <w:b/>
          <w:bCs/>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根据《国民经济行业分类》（GB/T 4754-</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2017</w:t>
      </w:r>
      <w:r>
        <w:rPr>
          <w:rFonts w:hint="eastAsia" w:ascii="仿宋_GB2312" w:hAnsi="仿宋_GB2312" w:eastAsia="仿宋_GB2312" w:cs="仿宋_GB2312"/>
          <w:color w:val="000000" w:themeColor="text1"/>
          <w:sz w:val="24"/>
          <w:szCs w:val="24"/>
          <w:highlight w:val="none"/>
          <w14:textFill>
            <w14:solidFill>
              <w14:schemeClr w14:val="tx1"/>
            </w14:solidFill>
          </w14:textFill>
        </w:rPr>
        <w:t>）及《海南省重点产业目录》，确定单位所属</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行业</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6.机构规模：根据国家统计局关于印发《统计上大中小微型企业划分办法（2017）》的通知要求，确定各行业服务机构规模，见附录六《统计上大中小微型企业划分标准》。</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7.从业人员数量：</w:t>
      </w:r>
      <w:r>
        <w:rPr>
          <w:rFonts w:hint="eastAsia" w:ascii="仿宋_GB2312" w:hAnsi="仿宋_GB2312" w:eastAsia="仿宋_GB2312" w:cs="仿宋_GB2312"/>
          <w:color w:val="000000" w:themeColor="text1"/>
          <w:sz w:val="24"/>
          <w:szCs w:val="24"/>
          <w:highlight w:val="none"/>
          <w14:textFill>
            <w14:solidFill>
              <w14:schemeClr w14:val="tx1"/>
            </w14:solidFill>
          </w14:textFill>
        </w:rPr>
        <w:t>报告期末最后一日在本单位工作，并取得工资或其他形式劳动报酬的人员总数，包括：</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在岗职工：与单位签订劳动合同并直接支付工资的人员。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劳务派遣人员：通过劳务派遣公司派至本单位工作的人员。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其他从业人员：包括兼职、实习、返聘等非正式员工</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未取得劳动报酬的志愿者、在校学生和已办理退休手续但未返聘的人员不计入内。</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8.专业技术职称：</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在工程、卫生、农业、经济、会计、统计、翻译、新闻出版广电、艺术、教师、科学研究等领域</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14:textFill>
            <w14:solidFill>
              <w14:schemeClr w14:val="tx1"/>
            </w14:solidFill>
          </w14:textFill>
        </w:rPr>
        <w:t>专业技术人员学术水平、技术能力的等级认证，</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分为初级、中级、</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副高职称和</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高级职称。旅文系列（专业）职称有新闻专业（广播电视方面）、图书资料专业、文物博物专业、群众文化专业、体育专业、播音主持专业、艺术专业。</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①</w:t>
      </w:r>
      <w:r>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正高级职称：指具有国家规定的正高级专业技术职称资格或受聘正高级专业技术职务的人员，是职称体系中的最高层级，涵盖正高级工程师、正高级统计师等类别（依据人社部发〔2017〕86 号及国家统计局行业分类标准）。​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②</w:t>
      </w:r>
      <w:r>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副高级职称：指具有国家规定的副高级专业技术职称资格或受聘副高级专业技术职务的人员，属于高级职称范畴，包括高级工程师、高级统计师等类型（依据国家统计局技术职称口径及岗位对应标准）。​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③</w:t>
      </w:r>
      <w:r>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中级职称：指具有国家规定的中级专业技术职称资格或受聘中级技术职务的人员，如工程师、统计师等，对应事业单位专业技术岗位八至十级（依据国家统计局行业统计指标解释）。​</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④</w:t>
      </w:r>
      <w:r>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woUserID w:val="1"/>
        </w:rPr>
        <w:t>初级职称：指具有国家规定的初级专业技术职称资格或受聘初级技术职务的人员，包括助理工程师、助理统计师等，对应事业单位专业技术岗位十一至十三级（依据国家统计局技术职称分类标准）。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其他专业技术人员：不在现行职称序列的专业技术人员，例如：</w:t>
      </w:r>
      <w:r>
        <w:rPr>
          <w:rFonts w:hint="eastAsia" w:ascii="仿宋_GB2312" w:hAnsi="仿宋_GB2312" w:eastAsia="仿宋_GB2312" w:cs="仿宋_GB2312"/>
          <w:color w:val="000000" w:themeColor="text1"/>
          <w:sz w:val="24"/>
          <w:szCs w:val="24"/>
          <w:highlight w:val="none"/>
          <w14:textFill>
            <w14:solidFill>
              <w14:schemeClr w14:val="tx1"/>
            </w14:solidFill>
          </w14:textFill>
        </w:rPr>
        <w:t>导游（高级导游、特级导游）、旅游规划师</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文物保护工程责任工程师、文物修复师</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9.人才团队：</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是指由具备专业知识、技能和经验的个体组成，为实现共同目标（如科研创新、项目开发、业务拓展、组织发展等）而协同合作的群体。</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包括：</w:t>
      </w:r>
      <w:r>
        <w:rPr>
          <w:rFonts w:hint="eastAsia" w:ascii="仿宋_GB2312" w:hAnsi="仿宋_GB2312" w:eastAsia="仿宋_GB2312" w:cs="仿宋_GB2312"/>
          <w:color w:val="000000" w:themeColor="text1"/>
          <w:sz w:val="24"/>
          <w:szCs w:val="24"/>
          <w:highlight w:val="none"/>
          <w14:textFill>
            <w14:solidFill>
              <w14:schemeClr w14:val="tx1"/>
            </w14:solidFill>
          </w14:textFill>
        </w:rPr>
        <w:t>科研创新团队</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项目执行团队</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管理决策团队</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技能型操作团队</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跨部门协作团队</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10.海归人员：</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是指中国公民在国（境）外高等院校、科研机构学习，获得相应国（境）外学历学位证书或高等教育文凭 ，以及在国内获得大专以上学历后，到国（境）外高等院校、科研机构进修、做访问学者等并取得一定成果，之后回到中国的人员。</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11.港澳台地区人员：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指在企业机构中就业的香港、澳门居民中的中国公民及中国台湾地区居民，包括与用人单位建立劳动关系、从事个体经营或被境外用人单位派遣在同一企业累计工作三个月以上的人员，以台港澳居民居住证、劳动合同等材料为就业证明依据。</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12.外籍人员：</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指依照《中华人民共和国国籍法》规定不具有中国国籍的人员。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13.柔性使用人才：</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是指通过多种灵活方式引进和利用人才资源，为本地或本单位的发展提供智力支持的人才。</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①项目合作人才：指与用人单位通过项目合作的方式，参与到具体的科研项目、工程项目等工作中的人才，他们在项目期间为用人单位提供专业技术支持等。</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②对口支援人才：通常是根据国家或地区的相关政策，从发达地区或优势领域向欠发达地区或特定领域进行支援的人才，他们通过技术传授、业务指导等方式帮助受援地区或单位提升发展水平。</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③顾问指导人才：指被用人单位聘请担任顾问或业务指导的市外人才，他们为用人单位提供战略咨询、技术指导、业务拓展等方面的智力支持。</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③候鸟服务人才：指像候鸟一样，根据季节或项目需求等，在不同地区或单位之间灵活流动，提供短期服务的人才，他们通常在某一领域具有专业技能和经验，能在特定时期为用人单位解决问题或提供帮助。</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14.学历：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①高中及中专以下：高中学历人员是指接受的最高一级教育为普通高中、职业高中、技工学校、成人高中，并取得毕业证书的人员，包括等同于高中学历的中等专业学校、成人中专的人员，不包括肄业、在读或辍学的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②大专：是指高级中等教育毕业或者具有同等学历的学生经考试合格，由实施相应学历教育的高等学校录取，取得专科入学资格。专科学历主要分为全日制专科和非全日制专科两种，毕业生时获得专科学历证书的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③本科：是指高等教育的基本组成部分，一般由大学或学院开展，极少部分高等职业院校也开展应用型本科教育。学生正常毕业后获得本科毕业证书和学士学位证书的人员。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④研究生及以上人员：指接受的最高一级教育为硕士研究生、博士研究生并授予学位证书的人员。</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w:t>
      </w:r>
      <w:r>
        <w:rPr>
          <w:rFonts w:hint="default" w:ascii="仿宋_GB2312" w:hAnsi="仿宋_GB2312" w:eastAsia="仿宋_GB2312" w:cs="仿宋_GB2312"/>
          <w:b/>
          <w:bCs/>
          <w:color w:val="000000" w:themeColor="text1"/>
          <w:sz w:val="24"/>
          <w:szCs w:val="24"/>
          <w:highlight w:val="none"/>
          <w:lang w:eastAsia="zh-CN"/>
          <w14:textFill>
            <w14:solidFill>
              <w14:schemeClr w14:val="tx1"/>
            </w14:solidFill>
          </w14:textFill>
          <w:woUserID w:val="1"/>
        </w:rPr>
        <w:t>5</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.职业技能等级：</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指经过人社部门备案的评价机构依据相关要求，对劳动者技能水平进行认定的等级。</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①首席技师：是在设有高级技师的职业（工种）之上增设的技能等级，属于新时代职业技能等级（岗位）序列 “新八级” 中的最高层级。通常是技艺高超、业绩突出，在本行业或领域具有引领示范作用的高技能人才。</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②特级技师：是“新八级”序列中的高层次技能等级，位于高级技师之上。企业可结合生产实际和职业（工种）特点，对特级技师进行认定，一般要求其在技术创新、工艺革新、带徒传艺等方面有重大贡献。</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③高级 / 一级技师：国家职业技能等级一级，能够熟练运用专门技能和特殊技能在本职业的各个领域完成复杂的、非常规性工作；熟练掌握本职业的关键技术技能，能够独立处理和解决高难度的技术问题或工艺难题；在技术攻关和工艺革新方面有创新；能够组织开展技术改造、技术革新活动；能够组织开展系统的专业技术培训；具有技术管理能力。</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④技师 / 二级：国家职业技能等级二级，能够熟练运用专门技能和特殊技能完成本职业复杂的、非常规性的工作；掌握本职业的关键技术技能，能够独立处理和解决技术或工艺难题；在技术技能方面有创新；能够指导和培训初、中、高级工；具有一定的技术管理能力。</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⑤高级工 / 三级：具备累计从事本职业或相关职业工作满 10 年等条件之一者可申报。高级工能够熟练掌握本职业的操作技能和工艺要求，独立完成较复杂的工作任务，具备一定的技术指导能力。</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⑥中级工 / 四级：累计从事本职业或相关职业工作满 5 年等条件之一者可申报。中级工能够熟练操作本职业的设备和工具，完成一般性的工作任务，掌握本职业的基本理论知识和操作技能。</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⑦初级工 / 五级：年满 16 周岁，拟从事本职业或相关职业工作，或已从事本职业或相关职业工作者可申报。初级工是技能人才的基础层级，能够在师傅的指导下，完成简单的工作任务，掌握本职业的基本操作技能和安全规范。</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⑧学徒工：是在初级工之下补设的层级，一般为新入职员工。学徒工的评价条件由企业自行设置，企业可在其跟随师傅学习期满和试用期满后，依据本单位对岗位的要求进行转正定级。参加中国特色企业新型学徒制的学员按照培养目标进行考核定级。</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w:t>
      </w:r>
      <w:r>
        <w:rPr>
          <w:rFonts w:hint="default" w:ascii="仿宋_GB2312" w:hAnsi="仿宋_GB2312" w:eastAsia="仿宋_GB2312" w:cs="仿宋_GB2312"/>
          <w:b/>
          <w:bCs/>
          <w:color w:val="000000" w:themeColor="text1"/>
          <w:sz w:val="24"/>
          <w:szCs w:val="24"/>
          <w:highlight w:val="none"/>
          <w:lang w:eastAsia="zh-CN"/>
          <w14:textFill>
            <w14:solidFill>
              <w14:schemeClr w14:val="tx1"/>
            </w14:solidFill>
          </w14:textFill>
          <w:woUserID w:val="1"/>
        </w:rPr>
        <w:t>6</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.高层次人才引进就业：</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指用人单位通过全职聘用、柔性引进（含兼职技术服务、项目合作、双岗互聘等）等形式吸纳高层次人才的就业模式，涵盖企业、高校及科研院所间智力资源跨行业调配。</w:t>
      </w:r>
    </w:p>
    <w:p>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default"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1</w:t>
      </w:r>
      <w:r>
        <w:rPr>
          <w:rFonts w:hint="default" w:ascii="仿宋_GB2312" w:hAnsi="仿宋_GB2312" w:eastAsia="仿宋_GB2312" w:cs="仿宋_GB2312"/>
          <w:b/>
          <w:bCs/>
          <w:color w:val="000000" w:themeColor="text1"/>
          <w:sz w:val="24"/>
          <w:szCs w:val="24"/>
          <w:highlight w:val="none"/>
          <w:lang w:eastAsia="zh-CN"/>
          <w14:textFill>
            <w14:solidFill>
              <w14:schemeClr w14:val="tx1"/>
            </w14:solidFill>
          </w14:textFill>
          <w:woUserID w:val="1"/>
        </w:rPr>
        <w:t>7</w:t>
      </w:r>
      <w:bookmarkStart w:id="58" w:name="_GoBack"/>
      <w:bookmarkEnd w:id="58"/>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.人才岗位：</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①</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高层人员：</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指在企业中担任战略决策与全面管理职责的最高领导层人员，包括董事长、总经理及副职等同级别的负责人。</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②</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中层人员：</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指负责执行高层决策并管理一级部门或内设机构的管理层人员，包括人力资源、研发等部门主要负责人及副职，承担承上启下的组织协调职能。</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③</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基层人员：</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指在企业二级及以下部门或机构中从事具体业务操作与执行的人员，包括一线生产、服务岗位员工及基层管理岗负责人，直接落实业务流程与任务指标。</w:t>
      </w:r>
    </w:p>
    <w:p>
      <w:pPr>
        <w:pStyle w:val="2"/>
        <w:keepNext/>
        <w:keepLines/>
        <w:pageBreakBefore w:val="0"/>
        <w:widowControl w:val="0"/>
        <w:kinsoku/>
        <w:wordWrap/>
        <w:overflowPunct/>
        <w:topLinePunct w:val="0"/>
        <w:autoSpaceDE/>
        <w:autoSpaceDN/>
        <w:bidi w:val="0"/>
        <w:adjustRightInd/>
        <w:snapToGrid/>
        <w:spacing w:before="0" w:line="360" w:lineRule="auto"/>
        <w:ind w:firstLine="0" w:firstLineChars="0"/>
        <w:jc w:val="center"/>
        <w:textAlignment w:val="auto"/>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line="360" w:lineRule="auto"/>
        <w:ind w:firstLine="0" w:firstLineChars="0"/>
        <w:jc w:val="center"/>
        <w:textAlignment w:val="auto"/>
        <w:rPr>
          <w:rFonts w:hint="eastAsia" w:ascii="黑体" w:hAnsi="黑体" w:eastAsia="黑体" w:cs="黑体"/>
          <w:b w:val="0"/>
          <w:color w:val="000000" w:themeColor="text1"/>
          <w:kern w:val="0"/>
          <w:sz w:val="32"/>
          <w:szCs w:val="32"/>
          <w:highlight w:val="none"/>
          <w:lang w:eastAsia="zh-CN"/>
          <w14:textFill>
            <w14:solidFill>
              <w14:schemeClr w14:val="tx1"/>
            </w14:solidFill>
          </w14:textFill>
        </w:rPr>
      </w:pPr>
      <w:bookmarkStart w:id="51" w:name="_Toc451"/>
      <w: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t>四</w:t>
      </w:r>
      <w:r>
        <w:rPr>
          <w:rFonts w:hint="eastAsia" w:ascii="黑体" w:hAnsi="黑体" w:eastAsia="黑体" w:cs="黑体"/>
          <w:b w:val="0"/>
          <w:color w:val="000000" w:themeColor="text1"/>
          <w:kern w:val="0"/>
          <w:sz w:val="32"/>
          <w:szCs w:val="32"/>
          <w:highlight w:val="none"/>
          <w14:textFill>
            <w14:solidFill>
              <w14:schemeClr w14:val="tx1"/>
            </w14:solidFill>
          </w14:textFill>
        </w:rPr>
        <w:t>、</w:t>
      </w:r>
      <w: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t>附录</w:t>
      </w:r>
      <w:bookmarkEnd w:id="51"/>
    </w:p>
    <w:p>
      <w:pPr>
        <w:numPr>
          <w:ilvl w:val="0"/>
          <w:numId w:val="0"/>
        </w:numPr>
        <w:bidi w:val="0"/>
        <w:jc w:val="center"/>
        <w:outlineLvl w:val="1"/>
        <w:rPr>
          <w:rFonts w:hint="default" w:ascii="Times New Roman" w:hAnsi="Times New Roman" w:eastAsia="宋体" w:cs="Times New Roman"/>
          <w:b/>
          <w:bCs/>
          <w:color w:val="000000" w:themeColor="text1"/>
          <w:sz w:val="32"/>
          <w:szCs w:val="28"/>
          <w:highlight w:val="none"/>
          <w:lang w:val="en-US" w:eastAsia="zh-CN"/>
          <w14:textFill>
            <w14:solidFill>
              <w14:schemeClr w14:val="tx1"/>
            </w14:solidFill>
          </w14:textFill>
        </w:rPr>
      </w:pPr>
      <w:bookmarkStart w:id="52" w:name="_Toc31255"/>
      <w:r>
        <w:rPr>
          <w:rFonts w:hint="eastAsia" w:ascii="Times New Roman" w:hAnsi="Times New Roman" w:eastAsia="宋体" w:cs="Times New Roman"/>
          <w:b/>
          <w:bCs/>
          <w:color w:val="000000" w:themeColor="text1"/>
          <w:sz w:val="32"/>
          <w:szCs w:val="28"/>
          <w:highlight w:val="none"/>
          <w:lang w:val="en-US" w:eastAsia="zh-CN"/>
          <w14:textFill>
            <w14:solidFill>
              <w14:schemeClr w14:val="tx1"/>
            </w14:solidFill>
          </w14:textFill>
        </w:rPr>
        <w:t>（一）旅游行业统计分类表</w:t>
      </w:r>
      <w:bookmarkEnd w:id="52"/>
    </w:p>
    <w:tbl>
      <w:tblPr>
        <w:tblStyle w:val="16"/>
        <w:tblW w:w="8618"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0" w:type="dxa"/>
          <w:bottom w:w="0" w:type="dxa"/>
          <w:right w:w="0" w:type="dxa"/>
        </w:tblCellMar>
      </w:tblPr>
      <w:tblGrid>
        <w:gridCol w:w="2098"/>
        <w:gridCol w:w="4252"/>
        <w:gridCol w:w="2268"/>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312" w:hRule="atLeast"/>
          <w:tblHeader/>
          <w:jc w:val="center"/>
        </w:trPr>
        <w:tc>
          <w:tcPr>
            <w:tcW w:w="2098" w:type="dxa"/>
            <w:vMerge w:val="restart"/>
            <w:tcBorders>
              <w:top w:val="single" w:color="auto" w:sz="4" w:space="0"/>
              <w:bottom w:val="single" w:color="auto" w:sz="4" w:space="0"/>
            </w:tcBorders>
            <w:noWrap/>
            <w:tcMar>
              <w:top w:w="0" w:type="dxa"/>
              <w:left w:w="108" w:type="dxa"/>
              <w:bottom w:w="0" w:type="dxa"/>
              <w:right w:w="108" w:type="dxa"/>
            </w:tcMar>
            <w:vAlign w:val="center"/>
          </w:tcPr>
          <w:p>
            <w:pPr>
              <w:overflowPunct w:val="0"/>
              <w:adjustRightInd w:val="0"/>
              <w:snapToGrid w:val="0"/>
              <w:jc w:val="center"/>
              <w:rPr>
                <w:rFonts w:hint="eastAsia" w:ascii="宋体" w:hAnsi="宋体" w:eastAsia="宋体" w:cs="宋体"/>
                <w:b/>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名   称</w:t>
            </w:r>
          </w:p>
        </w:tc>
        <w:tc>
          <w:tcPr>
            <w:tcW w:w="4252" w:type="dxa"/>
            <w:vMerge w:val="restart"/>
            <w:tcBorders>
              <w:top w:val="single" w:color="auto" w:sz="4" w:space="0"/>
              <w:bottom w:val="single" w:color="auto" w:sz="4" w:space="0"/>
            </w:tcBorders>
            <w:noWrap w:val="0"/>
            <w:tcMar>
              <w:top w:w="0" w:type="dxa"/>
              <w:left w:w="108" w:type="dxa"/>
              <w:bottom w:w="0" w:type="dxa"/>
              <w:right w:w="108" w:type="dxa"/>
            </w:tcMar>
            <w:vAlign w:val="center"/>
          </w:tcPr>
          <w:p>
            <w:pPr>
              <w:overflowPunct w:val="0"/>
              <w:adjustRightInd w:val="0"/>
              <w:snapToGrid w:val="0"/>
              <w:jc w:val="center"/>
              <w:rPr>
                <w:rFonts w:hint="eastAsia" w:ascii="宋体" w:hAnsi="宋体" w:eastAsia="宋体" w:cs="宋体"/>
                <w:b/>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说   明</w:t>
            </w:r>
          </w:p>
        </w:tc>
        <w:tc>
          <w:tcPr>
            <w:tcW w:w="2268" w:type="dxa"/>
            <w:vMerge w:val="restart"/>
            <w:tcBorders>
              <w:top w:val="single" w:color="auto" w:sz="4" w:space="0"/>
              <w:bottom w:val="single" w:color="auto" w:sz="4" w:space="0"/>
            </w:tcBorders>
            <w:noWrap w:val="0"/>
            <w:tcMar>
              <w:top w:w="0" w:type="dxa"/>
              <w:left w:w="0" w:type="dxa"/>
              <w:bottom w:w="0" w:type="dxa"/>
              <w:right w:w="0" w:type="dxa"/>
            </w:tcMar>
            <w:vAlign w:val="center"/>
          </w:tcPr>
          <w:p>
            <w:pPr>
              <w:overflowPunct w:val="0"/>
              <w:adjustRightInd w:val="0"/>
              <w:snapToGrid w:val="0"/>
              <w:jc w:val="center"/>
              <w:rPr>
                <w:rFonts w:hint="eastAsia" w:ascii="宋体" w:hAnsi="宋体" w:eastAsia="宋体" w:cs="宋体"/>
                <w:b/>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国民经济行业分类代码及名称（2017）</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312" w:hRule="atLeast"/>
          <w:tblHeader/>
          <w:jc w:val="center"/>
        </w:trPr>
        <w:tc>
          <w:tcPr>
            <w:tcW w:w="2098" w:type="dxa"/>
            <w:vMerge w:val="continue"/>
            <w:tcBorders>
              <w:top w:val="single" w:color="auto" w:sz="4" w:space="0"/>
              <w:bottom w:val="single" w:color="auto" w:sz="4" w:space="0"/>
            </w:tcBorders>
            <w:noWrap w:val="0"/>
            <w:vAlign w:val="center"/>
          </w:tcPr>
          <w:p>
            <w:pPr>
              <w:overflowPunct w:val="0"/>
              <w:adjustRightInd w:val="0"/>
              <w:snapToGrid w:val="0"/>
              <w:jc w:val="left"/>
              <w:rPr>
                <w:rFonts w:hint="eastAsia" w:ascii="宋体" w:hAnsi="宋体" w:eastAsia="宋体" w:cs="宋体"/>
                <w:b/>
                <w:color w:val="000000" w:themeColor="text1"/>
                <w:kern w:val="0"/>
                <w:sz w:val="18"/>
                <w:szCs w:val="18"/>
                <w:highlight w:val="none"/>
                <w14:textFill>
                  <w14:solidFill>
                    <w14:schemeClr w14:val="tx1"/>
                  </w14:solidFill>
                </w14:textFill>
              </w:rPr>
            </w:pPr>
          </w:p>
        </w:tc>
        <w:tc>
          <w:tcPr>
            <w:tcW w:w="4252" w:type="dxa"/>
            <w:vMerge w:val="continue"/>
            <w:tcBorders>
              <w:top w:val="single" w:color="auto" w:sz="4" w:space="0"/>
              <w:bottom w:val="single" w:color="auto" w:sz="4" w:space="0"/>
            </w:tcBorders>
            <w:noWrap w:val="0"/>
            <w:vAlign w:val="center"/>
          </w:tcPr>
          <w:p>
            <w:pPr>
              <w:overflowPunct w:val="0"/>
              <w:adjustRightInd w:val="0"/>
              <w:snapToGrid w:val="0"/>
              <w:rPr>
                <w:rFonts w:hint="eastAsia" w:ascii="宋体" w:hAnsi="宋体" w:eastAsia="宋体" w:cs="宋体"/>
                <w:b/>
                <w:color w:val="000000" w:themeColor="text1"/>
                <w:kern w:val="0"/>
                <w:sz w:val="18"/>
                <w:szCs w:val="18"/>
                <w:highlight w:val="none"/>
                <w14:textFill>
                  <w14:solidFill>
                    <w14:schemeClr w14:val="tx1"/>
                  </w14:solidFill>
                </w14:textFill>
              </w:rPr>
            </w:pPr>
          </w:p>
        </w:tc>
        <w:tc>
          <w:tcPr>
            <w:tcW w:w="2268" w:type="dxa"/>
            <w:vMerge w:val="continue"/>
            <w:tcBorders>
              <w:top w:val="single" w:color="auto" w:sz="4" w:space="0"/>
              <w:bottom w:val="single" w:color="auto" w:sz="4" w:space="0"/>
            </w:tcBorders>
            <w:noWrap w:val="0"/>
            <w:tcMar>
              <w:left w:w="227" w:type="dxa"/>
            </w:tcMar>
            <w:vAlign w:val="center"/>
          </w:tcPr>
          <w:p>
            <w:pPr>
              <w:overflowPunct w:val="0"/>
              <w:adjustRightInd w:val="0"/>
              <w:snapToGrid w:val="0"/>
              <w:jc w:val="left"/>
              <w:rPr>
                <w:rFonts w:hint="eastAsia" w:ascii="宋体" w:hAnsi="宋体" w:eastAsia="宋体" w:cs="宋体"/>
                <w:b/>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b/>
                <w:bCs/>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旅游餐饮</w:t>
            </w:r>
          </w:p>
        </w:tc>
        <w:tc>
          <w:tcPr>
            <w:tcW w:w="4252" w:type="dxa"/>
            <w:tcBorders>
              <w:top w:val="nil"/>
            </w:tcBorders>
            <w:noWrap w:val="0"/>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val="0"/>
            <w:tcMar>
              <w:left w:w="227" w:type="dxa"/>
            </w:tcMar>
            <w:vAlign w:val="center"/>
          </w:tcPr>
          <w:p>
            <w:pPr>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b/>
                <w:bCs/>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旅游正餐服务</w:t>
            </w:r>
          </w:p>
        </w:tc>
        <w:tc>
          <w:tcPr>
            <w:tcW w:w="4252" w:type="dxa"/>
            <w:tcBorders>
              <w:top w:val="nil"/>
            </w:tcBorders>
            <w:noWrap w:val="0"/>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仅包括在一定场所为游客提供以中餐、晚餐为主的餐饮服务</w:t>
            </w:r>
          </w:p>
        </w:tc>
        <w:tc>
          <w:tcPr>
            <w:tcW w:w="2268" w:type="dxa"/>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6210*正餐服务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b/>
                <w:bCs/>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旅游快餐服务</w:t>
            </w:r>
          </w:p>
        </w:tc>
        <w:tc>
          <w:tcPr>
            <w:tcW w:w="4252" w:type="dxa"/>
            <w:tcBorders>
              <w:top w:val="nil"/>
            </w:tcBorders>
            <w:noWrap w:val="0"/>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仅包括在一定场所为游客提供的快捷、便利的就餐服务</w:t>
            </w:r>
          </w:p>
        </w:tc>
        <w:tc>
          <w:tcPr>
            <w:tcW w:w="2268" w:type="dxa"/>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6220*快餐服务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b/>
                <w:bCs/>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旅游饮料服务</w:t>
            </w:r>
          </w:p>
        </w:tc>
        <w:tc>
          <w:tcPr>
            <w:tcW w:w="4252" w:type="dxa"/>
            <w:tcBorders>
              <w:top w:val="nil"/>
            </w:tcBorders>
            <w:noWrap w:val="0"/>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仅包括在一定场所为游客提供的饮料和冷饮为主的服务，以及茶馆服务、咖啡馆服务、酒吧服务、冰激淋店、冷饮店服务等</w:t>
            </w:r>
          </w:p>
        </w:tc>
        <w:tc>
          <w:tcPr>
            <w:tcW w:w="2268" w:type="dxa"/>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623*饮料及冷饮服务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b/>
                <w:bCs/>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旅游小吃服务</w:t>
            </w:r>
          </w:p>
        </w:tc>
        <w:tc>
          <w:tcPr>
            <w:tcW w:w="4252" w:type="dxa"/>
            <w:tcBorders>
              <w:top w:val="nil"/>
            </w:tcBorders>
            <w:noWrap w:val="0"/>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仅包括为游客提供的一般饭馆、农家饭馆、流动餐饮、单一小吃、特色餐饮等服务</w:t>
            </w:r>
          </w:p>
        </w:tc>
        <w:tc>
          <w:tcPr>
            <w:tcW w:w="2268" w:type="dxa"/>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6291*小吃服务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b/>
                <w:bCs/>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旅游餐饮配送服务</w:t>
            </w:r>
          </w:p>
        </w:tc>
        <w:tc>
          <w:tcPr>
            <w:tcW w:w="4252" w:type="dxa"/>
            <w:tcBorders>
              <w:top w:val="nil"/>
            </w:tcBorders>
            <w:noWrap w:val="0"/>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仅包括为民航、铁路及旅游机构（团）提供的餐饮配送服务</w:t>
            </w:r>
          </w:p>
        </w:tc>
        <w:tc>
          <w:tcPr>
            <w:tcW w:w="2268" w:type="dxa"/>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6241*餐饮配送服务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shd w:val="clear" w:color="auto" w:fill="auto"/>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旅游住宿</w:t>
            </w:r>
          </w:p>
        </w:tc>
        <w:tc>
          <w:tcPr>
            <w:tcW w:w="4252" w:type="dxa"/>
            <w:tcBorders>
              <w:top w:val="nil"/>
            </w:tcBorders>
            <w:shd w:val="clear" w:color="auto" w:fill="auto"/>
            <w:noWrap w:val="0"/>
            <w:vAlign w:val="top"/>
          </w:tcPr>
          <w:p>
            <w:pPr>
              <w:overflowPunct w:val="0"/>
              <w:adjustRightInd w:val="0"/>
              <w:snapToGrid w:val="0"/>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　</w:t>
            </w:r>
          </w:p>
        </w:tc>
        <w:tc>
          <w:tcPr>
            <w:tcW w:w="2268" w:type="dxa"/>
            <w:shd w:val="clear" w:color="auto" w:fill="auto"/>
            <w:noWrap w:val="0"/>
            <w:tcMar>
              <w:left w:w="227"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shd w:val="clear" w:color="auto" w:fill="auto"/>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一般旅游住宿服务</w:t>
            </w:r>
          </w:p>
        </w:tc>
        <w:tc>
          <w:tcPr>
            <w:tcW w:w="4252" w:type="dxa"/>
            <w:tcBorders>
              <w:top w:val="nil"/>
            </w:tcBorders>
            <w:shd w:val="clear" w:color="auto" w:fill="auto"/>
            <w:noWrap w:val="0"/>
            <w:vAlign w:val="top"/>
          </w:tcPr>
          <w:p>
            <w:pPr>
              <w:overflowPunct w:val="0"/>
              <w:adjustRightInd w:val="0"/>
              <w:snapToGrid w:val="0"/>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shd w:val="clear" w:color="auto" w:fill="auto"/>
            <w:noWrap w:val="0"/>
            <w:tcMar>
              <w:left w:w="227"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shd w:val="clear" w:color="auto" w:fill="auto"/>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旅游饭店</w:t>
            </w:r>
          </w:p>
        </w:tc>
        <w:tc>
          <w:tcPr>
            <w:tcW w:w="4252" w:type="dxa"/>
            <w:tcBorders>
              <w:top w:val="nil"/>
            </w:tcBorders>
            <w:shd w:val="clear" w:color="auto" w:fill="auto"/>
            <w:noWrap w:val="0"/>
            <w:vAlign w:val="top"/>
          </w:tcPr>
          <w:p>
            <w:pPr>
              <w:overflowPunct w:val="0"/>
              <w:adjustRightInd w:val="0"/>
              <w:snapToGrid w:val="0"/>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p>
        </w:tc>
        <w:tc>
          <w:tcPr>
            <w:tcW w:w="2268" w:type="dxa"/>
            <w:shd w:val="clear" w:color="auto" w:fill="auto"/>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6110旅游饭店</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shd w:val="clear" w:color="auto" w:fill="auto"/>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一般旅馆</w:t>
            </w:r>
          </w:p>
        </w:tc>
        <w:tc>
          <w:tcPr>
            <w:tcW w:w="4252" w:type="dxa"/>
            <w:tcBorders>
              <w:top w:val="nil"/>
            </w:tcBorders>
            <w:shd w:val="clear" w:color="auto" w:fill="auto"/>
            <w:noWrap w:val="0"/>
            <w:vAlign w:val="top"/>
          </w:tcPr>
          <w:p>
            <w:pPr>
              <w:overflowPunct w:val="0"/>
              <w:adjustRightInd w:val="0"/>
              <w:snapToGrid w:val="0"/>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p>
        </w:tc>
        <w:tc>
          <w:tcPr>
            <w:tcW w:w="2268" w:type="dxa"/>
            <w:shd w:val="clear" w:color="auto" w:fill="auto"/>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612一般旅馆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shd w:val="clear" w:color="auto" w:fill="auto"/>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其他旅游住宿服务</w:t>
            </w:r>
          </w:p>
        </w:tc>
        <w:tc>
          <w:tcPr>
            <w:tcW w:w="4252" w:type="dxa"/>
            <w:tcBorders>
              <w:top w:val="nil"/>
            </w:tcBorders>
            <w:shd w:val="clear" w:color="auto" w:fill="auto"/>
            <w:noWrap w:val="0"/>
            <w:vAlign w:val="top"/>
          </w:tcPr>
          <w:p>
            <w:pPr>
              <w:overflowPunct w:val="0"/>
              <w:adjustRightInd w:val="0"/>
              <w:snapToGrid w:val="0"/>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仅包括家庭旅馆（农家旅舍）、车船住宿、露营地、房车场地、旅居全挂车营地等住宿服务</w:t>
            </w:r>
          </w:p>
        </w:tc>
        <w:tc>
          <w:tcPr>
            <w:tcW w:w="2268" w:type="dxa"/>
            <w:shd w:val="clear" w:color="auto" w:fill="auto"/>
            <w:noWrap w:val="0"/>
            <w:tcMar>
              <w:left w:w="227"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6130*民宿服务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6140*露营地服务</w:t>
            </w:r>
          </w:p>
          <w:p>
            <w:pPr>
              <w:overflowPunct w:val="0"/>
              <w:adjustRightInd w:val="0"/>
              <w:snapToGrid w:val="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6190*其他住宿业</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shd w:val="clear" w:color="auto" w:fill="auto"/>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休养旅游住宿服务</w:t>
            </w:r>
          </w:p>
        </w:tc>
        <w:tc>
          <w:tcPr>
            <w:tcW w:w="4252" w:type="dxa"/>
            <w:tcBorders>
              <w:top w:val="nil"/>
            </w:tcBorders>
            <w:shd w:val="clear" w:color="auto" w:fill="auto"/>
            <w:noWrap w:val="0"/>
            <w:vAlign w:val="top"/>
          </w:tcPr>
          <w:p>
            <w:pPr>
              <w:overflowPunct w:val="0"/>
              <w:adjustRightInd w:val="0"/>
              <w:snapToGrid w:val="0"/>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仅包括各类休养所为游客提供的住宿服务</w:t>
            </w:r>
          </w:p>
        </w:tc>
        <w:tc>
          <w:tcPr>
            <w:tcW w:w="2268" w:type="dxa"/>
            <w:shd w:val="clear" w:color="auto" w:fill="auto"/>
            <w:noWrap w:val="0"/>
            <w:tcMar>
              <w:left w:w="227"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8511*干部休养所</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旅游出行</w:t>
            </w:r>
          </w:p>
        </w:tc>
        <w:tc>
          <w:tcPr>
            <w:tcW w:w="4252" w:type="dxa"/>
            <w:tcBorders>
              <w:top w:val="nil"/>
            </w:tcBorders>
            <w:noWrap w:val="0"/>
            <w:vAlign w:val="center"/>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val="0"/>
            <w:tcMar>
              <w:left w:w="227" w:type="dxa"/>
            </w:tcMar>
            <w:vAlign w:val="center"/>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旅游铁路运输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57"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铁路旅客运输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531铁路旅客运输</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客运火车站</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5331客运火车站</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旅游道路运输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center"/>
          </w:tcPr>
          <w:p>
            <w:pPr>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城市旅游公共交通服务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仅包括为游客提供的公共电汽车客运、城市轨道交通、出租车客运、摩托车客运、三轮车、人力车客运、公共自行车等服务</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541*城市公共交通运输</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公路旅客运输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542公路旅客运输</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旅游水上运输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水上旅客运输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551水上旅客运输</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客运港口</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5531客运港口</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旅游空中运输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航空旅客运输</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5611航空旅客运输</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观光游览航空服务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仅包括公共航空运输以外的空中旅游观光、游览飞行等航空服务</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5622观光游览航空服务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机场</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5631机场</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空中交通管理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5632空中交通管理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其他旅游出行服务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旅客票务代理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5822旅客票务代理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旅游交通设备租赁</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仅包括各类轿车、旅游客车、旅行车、活动住房车等旅游用车的租赁，以及旅游船舶、飞行器的租赁</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7111*汽车租赁</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7115*医疗设备经营租赁</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7119*其他机械与设备经营租赁</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旅游游览</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val="0"/>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公园景区游览</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center"/>
          </w:tcPr>
          <w:p>
            <w:pPr>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城市公园管理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各类主题公园、国家公园等管理服务，以及与公园相关的门票服务，文明旅游宣传引导服务，高风险旅游项目风险提示和培训管理，交通疏散体系管理，突发事件、高峰期大客流应对处置和安全预警管理服务等包含在此类</w:t>
            </w:r>
          </w:p>
        </w:tc>
        <w:tc>
          <w:tcPr>
            <w:tcW w:w="2268" w:type="dxa"/>
            <w:noWrap/>
            <w:tcMar>
              <w:top w:w="0" w:type="dxa"/>
              <w:left w:w="227" w:type="dxa"/>
              <w:bottom w:w="0" w:type="dxa"/>
              <w:right w:w="108" w:type="dxa"/>
            </w:tcMar>
            <w:vAlign w:val="center"/>
          </w:tcPr>
          <w:p>
            <w:pP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7850城市公园管理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游览景区管理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各类游览景区的管理服务，以及与游览景区相关的门票服务，文明旅游宣传引导服务，高风险旅游项目风险提示和培训管理，交通疏散体系管理，突发事件、高峰期大客流应对处置和安全预警管理服务等包含在此类</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786游览景区管理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生态旅游游览</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仅包括对游客开放的自然保护区，以及动物园、野生动物园、海洋馆、植物园、树木园等管理服务</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771*生态保护</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游乐园</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9020游乐园</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其他旅游游览</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文物及非物质文化遗产保护</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受文物保护的古村镇，以及具有地方民族特色的传统节目展示，手工艺展示，民俗活动展示等包含在此类</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8840文物及非物质文化遗产保护</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博物馆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8850博物馆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宗教活动场所服务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仅包括寺庙、教堂等宗教场所为游客提供的服务</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9542宗教活动场所服务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烈士陵园、纪念馆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烈士陵园、烈士纪念馆、爱国主义教育基地等为游客提供的服务包含在此类</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8860烈士陵园、纪念馆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旅游会展服务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仅包括为旅游提供的会议、展览、博览等服务</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728*会议、展览及相关服务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1306" w:hRule="atLeast"/>
          <w:jc w:val="center"/>
        </w:trPr>
        <w:tc>
          <w:tcPr>
            <w:tcW w:w="2098" w:type="dxa"/>
            <w:tcBorders>
              <w:bottom w:val="nil"/>
              <w:right w:val="nil"/>
            </w:tcBorders>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b/>
                <w:bCs/>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农业观光休闲旅游</w:t>
            </w:r>
          </w:p>
          <w:p>
            <w:pPr>
              <w:overflowPunct w:val="0"/>
              <w:adjustRightInd w:val="0"/>
              <w:snapToGrid w:val="0"/>
              <w:jc w:val="left"/>
              <w:rPr>
                <w:rFonts w:hint="eastAsia" w:ascii="宋体" w:hAnsi="宋体" w:eastAsia="宋体" w:cs="宋体"/>
                <w:b/>
                <w:bCs/>
                <w:color w:val="000000" w:themeColor="text1"/>
                <w:kern w:val="0"/>
                <w:sz w:val="18"/>
                <w:szCs w:val="18"/>
                <w:highlight w:val="none"/>
                <w14:textFill>
                  <w14:solidFill>
                    <w14:schemeClr w14:val="tx1"/>
                  </w14:solidFill>
                </w14:textFill>
              </w:rPr>
            </w:pPr>
          </w:p>
          <w:p>
            <w:pPr>
              <w:overflowPunct w:val="0"/>
              <w:adjustRightInd w:val="0"/>
              <w:snapToGrid w:val="0"/>
              <w:jc w:val="left"/>
              <w:rPr>
                <w:rFonts w:hint="eastAsia" w:ascii="宋体" w:hAnsi="宋体" w:eastAsia="宋体" w:cs="宋体"/>
                <w:b/>
                <w:bCs/>
                <w:color w:val="000000" w:themeColor="text1"/>
                <w:kern w:val="0"/>
                <w:sz w:val="18"/>
                <w:szCs w:val="18"/>
                <w:highlight w:val="none"/>
                <w14:textFill>
                  <w14:solidFill>
                    <w14:schemeClr w14:val="tx1"/>
                  </w14:solidFill>
                </w14:textFill>
              </w:rPr>
            </w:pPr>
          </w:p>
          <w:p>
            <w:pPr>
              <w:overflowPunct w:val="0"/>
              <w:adjustRightInd w:val="0"/>
              <w:snapToGrid w:val="0"/>
              <w:jc w:val="left"/>
              <w:rPr>
                <w:rFonts w:hint="eastAsia" w:ascii="宋体" w:hAnsi="宋体" w:eastAsia="宋体" w:cs="宋体"/>
                <w:b/>
                <w:bCs/>
                <w:color w:val="000000" w:themeColor="text1"/>
                <w:kern w:val="0"/>
                <w:sz w:val="18"/>
                <w:szCs w:val="18"/>
                <w:highlight w:val="none"/>
                <w14:textFill>
                  <w14:solidFill>
                    <w14:schemeClr w14:val="tx1"/>
                  </w14:solidFill>
                </w14:textFill>
              </w:rPr>
            </w:pPr>
          </w:p>
          <w:p>
            <w:pPr>
              <w:overflowPunct w:val="0"/>
              <w:adjustRightInd w:val="0"/>
              <w:snapToGrid w:val="0"/>
              <w:jc w:val="left"/>
              <w:rPr>
                <w:rFonts w:hint="eastAsia" w:ascii="宋体" w:hAnsi="宋体" w:eastAsia="宋体" w:cs="宋体"/>
                <w:b/>
                <w:bCs/>
                <w:color w:val="000000" w:themeColor="text1"/>
                <w:kern w:val="0"/>
                <w:sz w:val="18"/>
                <w:szCs w:val="18"/>
                <w:highlight w:val="none"/>
                <w14:textFill>
                  <w14:solidFill>
                    <w14:schemeClr w14:val="tx1"/>
                  </w14:solidFill>
                </w14:textFill>
              </w:rPr>
            </w:pP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c>
          <w:tcPr>
            <w:tcW w:w="4252" w:type="dxa"/>
            <w:tcBorders>
              <w:left w:val="nil"/>
              <w:bottom w:val="nil"/>
              <w:right w:val="nil"/>
            </w:tcBorders>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仅包括以蔬果、鲜花等植物的种植和养殖为核心的农业观光休闲旅游服务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tcBorders>
              <w:left w:val="nil"/>
              <w:bottom w:val="nil"/>
            </w:tcBorders>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0141*蔬菜种植</w:t>
            </w:r>
          </w:p>
          <w:p>
            <w:pPr>
              <w:overflowPunct w:val="0"/>
              <w:adjustRightInd w:val="0"/>
              <w:snapToGrid w:val="0"/>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0143*花卉种植</w:t>
            </w:r>
          </w:p>
          <w:p>
            <w:pPr>
              <w:overflowPunct w:val="0"/>
              <w:adjustRightInd w:val="0"/>
              <w:snapToGrid w:val="0"/>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0149*其他园艺作物种植</w:t>
            </w:r>
          </w:p>
          <w:p>
            <w:pPr>
              <w:overflowPunct w:val="0"/>
              <w:adjustRightInd w:val="0"/>
              <w:snapToGrid w:val="0"/>
              <w:jc w:val="left"/>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015*水果种植</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0412* 内陆养殖</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tcBorders>
              <w:top w:val="nil"/>
            </w:tcBorders>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spacing w:val="-6"/>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旅游购物</w:t>
            </w:r>
          </w:p>
        </w:tc>
        <w:tc>
          <w:tcPr>
            <w:tcW w:w="4252" w:type="dxa"/>
            <w:tcBorders>
              <w:top w:val="nil"/>
            </w:tcBorders>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tcBorders>
              <w:top w:val="nil"/>
            </w:tcBorders>
            <w:noWrap w:val="0"/>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tcBorders>
              <w:top w:val="nil"/>
            </w:tcBorders>
            <w:noWrap/>
            <w:tcMar>
              <w:top w:w="0" w:type="dxa"/>
              <w:left w:w="108" w:type="dxa"/>
              <w:bottom w:w="0" w:type="dxa"/>
              <w:right w:w="108" w:type="dxa"/>
            </w:tcMar>
            <w:vAlign w:val="top"/>
          </w:tcPr>
          <w:p>
            <w:pPr>
              <w:overflowPunct w:val="0"/>
              <w:adjustRightInd w:val="0"/>
              <w:snapToGrid w:val="0"/>
              <w:ind w:firstLine="168" w:firstLineChars="100"/>
              <w:jc w:val="left"/>
              <w:rPr>
                <w:rFonts w:hint="eastAsia" w:ascii="宋体" w:hAnsi="宋体" w:eastAsia="宋体" w:cs="宋体"/>
                <w:color w:val="000000" w:themeColor="text1"/>
                <w:spacing w:val="-6"/>
                <w:kern w:val="0"/>
                <w:sz w:val="18"/>
                <w:szCs w:val="18"/>
                <w:highlight w:val="none"/>
                <w14:textFill>
                  <w14:solidFill>
                    <w14:schemeClr w14:val="tx1"/>
                  </w14:solidFill>
                </w14:textFill>
              </w:rPr>
            </w:pPr>
            <w:r>
              <w:rPr>
                <w:rFonts w:hint="eastAsia" w:ascii="宋体" w:hAnsi="宋体" w:eastAsia="宋体" w:cs="宋体"/>
                <w:color w:val="000000" w:themeColor="text1"/>
                <w:spacing w:val="-6"/>
                <w:kern w:val="0"/>
                <w:sz w:val="18"/>
                <w:szCs w:val="18"/>
                <w:highlight w:val="none"/>
                <w14:textFill>
                  <w14:solidFill>
                    <w14:schemeClr w14:val="tx1"/>
                  </w14:solidFill>
                </w14:textFill>
              </w:rPr>
              <w:t>旅游出行工具及燃料购物</w:t>
            </w:r>
          </w:p>
        </w:tc>
        <w:tc>
          <w:tcPr>
            <w:tcW w:w="4252" w:type="dxa"/>
            <w:tcBorders>
              <w:top w:val="nil"/>
            </w:tcBorders>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仅包括为游客购买用于旅游活动的自驾车、摩托车、自驾游用燃料、零配件等提供的零售服务</w:t>
            </w:r>
          </w:p>
        </w:tc>
        <w:tc>
          <w:tcPr>
            <w:tcW w:w="2268" w:type="dxa"/>
            <w:tcBorders>
              <w:top w:val="nil"/>
            </w:tcBorders>
            <w:noWrap w:val="0"/>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526*汽车、摩托车、零配件和燃料及其他动力销售</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旅游商品购物</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仅包括为游客购买旅游纪念品、老字号纪念品、免税店商品、旅游用品（不含出行工具、燃料等）、旅游食品等提供的零售服务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521*综合零售</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522*食品、饮料及烟草制品专门零售</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523*纺织、服装及日用品专门零售</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524*文化、体育用品及器材专门零售</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旅游娱乐</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　</w:t>
            </w:r>
          </w:p>
        </w:tc>
        <w:tc>
          <w:tcPr>
            <w:tcW w:w="2268" w:type="dxa"/>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旅游文化娱乐</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文艺表演旅游服务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仅包括与旅游相关的表演艺术（旅游专场剧目表演）和艺术创造等活动</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8810*文艺创作与表演</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表演场所旅游服务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仅包括音乐厅、歌舞剧院、戏剧场等为游客提供的服务</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8820*艺术表演场馆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旅游室内娱乐服务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仅包括为游客提供的歌舞厅、KTV歌厅、演艺吧等娱乐服务，以及电子游艺厅娱乐活动、儿童室内游戏、手工制作等娱乐服务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9011*歌舞厅娱乐活动</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9012*电子游艺厅娱乐活动</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9019*其他室内娱乐活动</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旅游摄影扩印服务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仅包括与旅游相关的摄影、扩印等服务</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8060*摄影扩印服务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旅游健身娱乐</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val="0"/>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体育场馆旅游服务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仅包括可供游客观赏体育赛事的室内、室外体育场所，以及室外天然体育场地的管理服务</w:t>
            </w:r>
          </w:p>
        </w:tc>
        <w:tc>
          <w:tcPr>
            <w:tcW w:w="2268" w:type="dxa"/>
            <w:noWrap w:val="0"/>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892*体育场地设施管理</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val="0"/>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旅游健身服务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仅包括休闲健身场所为游客提供的健身器械、保龄球、台球、棋牌等服务</w:t>
            </w:r>
          </w:p>
        </w:tc>
        <w:tc>
          <w:tcPr>
            <w:tcW w:w="2268" w:type="dxa"/>
            <w:noWrap w:val="0"/>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8930*健身休闲活动</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旅游休闲娱乐</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洗浴旅游服务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仅包括为游客提供的洗浴、温泉、桑拿、水疗等服务</w:t>
            </w:r>
          </w:p>
        </w:tc>
        <w:tc>
          <w:tcPr>
            <w:tcW w:w="2268" w:type="dxa"/>
            <w:noWrap w:val="0"/>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8051*洗浴服务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保健旅游服务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仅包括为游客提供的保健按摩、足疗等服务，以及</w:t>
            </w:r>
            <w:r>
              <w:rPr>
                <w:rFonts w:hint="eastAsia" w:ascii="宋体" w:hAnsi="宋体" w:eastAsia="宋体" w:cs="宋体"/>
                <w:color w:val="000000" w:themeColor="text1"/>
                <w:sz w:val="18"/>
                <w:szCs w:val="18"/>
                <w:highlight w:val="none"/>
                <w14:textFill>
                  <w14:solidFill>
                    <w14:schemeClr w14:val="tx1"/>
                  </w14:solidFill>
                </w14:textFill>
              </w:rPr>
              <w:t>特色医疗、疗养康复、美容保健等医疗旅游服务</w:t>
            </w:r>
          </w:p>
        </w:tc>
        <w:tc>
          <w:tcPr>
            <w:tcW w:w="2268" w:type="dxa"/>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8052*足浴服务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8053*养生保健服务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8412*中医医院</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8413*中西医结合医院</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8414*民族医院</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8415*专科医院</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8416*疗养院</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36" w:firstLineChars="200"/>
              <w:jc w:val="left"/>
              <w:rPr>
                <w:rFonts w:hint="eastAsia" w:ascii="宋体" w:hAnsi="宋体" w:eastAsia="宋体" w:cs="宋体"/>
                <w:color w:val="000000" w:themeColor="text1"/>
                <w:spacing w:val="-6"/>
                <w:kern w:val="0"/>
                <w:sz w:val="18"/>
                <w:szCs w:val="18"/>
                <w:highlight w:val="none"/>
                <w14:textFill>
                  <w14:solidFill>
                    <w14:schemeClr w14:val="tx1"/>
                  </w14:solidFill>
                </w14:textFill>
              </w:rPr>
            </w:pPr>
            <w:r>
              <w:rPr>
                <w:rFonts w:hint="eastAsia" w:ascii="宋体" w:hAnsi="宋体" w:eastAsia="宋体" w:cs="宋体"/>
                <w:color w:val="000000" w:themeColor="text1"/>
                <w:spacing w:val="-6"/>
                <w:kern w:val="0"/>
                <w:sz w:val="18"/>
                <w:szCs w:val="18"/>
                <w:highlight w:val="none"/>
                <w14:textFill>
                  <w14:solidFill>
                    <w14:schemeClr w14:val="tx1"/>
                  </w14:solidFill>
                </w14:textFill>
              </w:rPr>
              <w:t>其他旅游休闲娱乐服务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仅包括以农林牧渔业、制造业等生产和服务领域为对象的休闲观光旅游活动及公园、海滩和旅游景点内的小型设施服务等</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9030*休闲观光活动</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9090*其他娱乐业</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旅游综合服务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　</w:t>
            </w:r>
          </w:p>
        </w:tc>
        <w:tc>
          <w:tcPr>
            <w:tcW w:w="2268" w:type="dxa"/>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旅行社及相关服务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val="0"/>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7291旅行社及相关服务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其他旅游综合服务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旅游活动策划服务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仅包括与旅游相关的活动策划、演出策划、体育赛事策划等服务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7297*商务代理代办服务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7298*票务代理服务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7299*其他未列明商务服务业</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旅游电子平台服务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仅包括一揽子旅游电子商务平台的运营维护服务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6432*互联网生活服务平台</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6434*互联网公共服务平台</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6439*其他互联网平台</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6440*互联网安全服务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6450*互联网数据服务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旅游企业管理服务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仅包括旅游饭店、旅游景区、旅行社等单位的管理机构服务，以及与旅游相关的行业管理协会、联合会等行业管理服务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7215*农村集体经济组织管理</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7219*其他组织管理服务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722*综合管理服务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9522*行业性团体</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b/>
                <w:bCs/>
                <w:color w:val="000000" w:themeColor="text1"/>
                <w:kern w:val="0"/>
                <w:sz w:val="18"/>
                <w:szCs w:val="18"/>
                <w:highlight w:val="none"/>
                <w14:textFill>
                  <w14:solidFill>
                    <w14:schemeClr w14:val="tx1"/>
                  </w14:solidFill>
                </w14:textFill>
              </w:rPr>
            </w:pP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b/>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旅游相关产业</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53"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旅游金融服务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旅游人身保险服务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仅包括与旅游相关的人身保险服务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6813*健康保险</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6814*意外伤害保险</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旅游财产保险服务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仅包括与旅游相关的财产保险服务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6820*财产保险</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b/>
                <w:bCs/>
                <w:color w:val="000000" w:themeColor="text1"/>
                <w:kern w:val="0"/>
                <w:sz w:val="18"/>
                <w:szCs w:val="18"/>
                <w:highlight w:val="none"/>
                <w14:textFill>
                  <w14:solidFill>
                    <w14:schemeClr w14:val="tx1"/>
                  </w14:solidFill>
                </w14:textFill>
              </w:rPr>
              <w:t>旅游教育服务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center"/>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旅游中等职业教育</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仅包括旅游、导游、酒店等中等职业学校教育</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8336*中等职业学校教育</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旅游高等教育</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仅包括旅游、酒店、翻译等高等教育</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834*高等教育</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旅游培训</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仅包括导游、外语、厨师、酒店服务、客车驾驶、飞行驾驶等与旅游相关的培训</w:t>
            </w:r>
          </w:p>
        </w:tc>
        <w:tc>
          <w:tcPr>
            <w:tcW w:w="2268" w:type="dxa"/>
            <w:noWrap/>
            <w:tcMar>
              <w:top w:w="0" w:type="dxa"/>
              <w:left w:w="227" w:type="dxa"/>
              <w:bottom w:w="0" w:type="dxa"/>
              <w:right w:w="108" w:type="dxa"/>
            </w:tcMar>
            <w:vAlign w:val="center"/>
          </w:tcPr>
          <w:p>
            <w:pPr>
              <w:keepNext w:val="0"/>
              <w:keepLines w:val="0"/>
              <w:widowControl/>
              <w:suppressLineNumbers w:val="0"/>
              <w:jc w:val="left"/>
              <w:textAlignment w:val="center"/>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8391*职业技能培训</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其他旅游辅助服务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旅游安保服务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仅包括为铁路、民航、港口、酒店、旅游景区等提供的安保服务</w:t>
            </w:r>
          </w:p>
        </w:tc>
        <w:tc>
          <w:tcPr>
            <w:tcW w:w="2268" w:type="dxa"/>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7271*安全服务</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7272*安全系统监控服务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旅游翻译服务</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仅包括为旅游提供的翻译服务等</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7294*翻译服务</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36" w:firstLineChars="200"/>
              <w:jc w:val="left"/>
              <w:rPr>
                <w:rFonts w:hint="eastAsia" w:ascii="宋体" w:hAnsi="宋体" w:eastAsia="宋体" w:cs="宋体"/>
                <w:color w:val="000000" w:themeColor="text1"/>
                <w:spacing w:val="-6"/>
                <w:kern w:val="0"/>
                <w:sz w:val="18"/>
                <w:szCs w:val="18"/>
                <w:highlight w:val="none"/>
                <w14:textFill>
                  <w14:solidFill>
                    <w14:schemeClr w14:val="tx1"/>
                  </w14:solidFill>
                </w14:textFill>
              </w:rPr>
            </w:pPr>
            <w:r>
              <w:rPr>
                <w:rFonts w:hint="eastAsia" w:ascii="宋体" w:hAnsi="宋体" w:eastAsia="宋体" w:cs="宋体"/>
                <w:color w:val="000000" w:themeColor="text1"/>
                <w:spacing w:val="-6"/>
                <w:kern w:val="0"/>
                <w:sz w:val="18"/>
                <w:szCs w:val="18"/>
                <w:highlight w:val="none"/>
                <w14:textFill>
                  <w14:solidFill>
                    <w14:schemeClr w14:val="tx1"/>
                  </w14:solidFill>
                </w14:textFill>
              </w:rPr>
              <w:t>旅游娱乐体育设备出租</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仅包括用于旅游的自行车、照相器材、娱乐设备、运动器材等出租</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7121*休闲娱乐用品设备出租</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7122*体育用品设备出租</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360" w:firstLineChars="2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旅游日用品出租</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仅包括用于旅游的纺织品、服装、鞋帽等出租</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7123*文化用品设备出租</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7129*其他文体设备和用品出租</w:t>
            </w: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7130*日用品出租</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jc w:val="left"/>
              <w:rPr>
                <w:rFonts w:hint="eastAsia" w:ascii="宋体" w:hAnsi="宋体" w:eastAsia="宋体" w:cs="宋体"/>
                <w:b/>
                <w:color w:val="000000" w:themeColor="text1"/>
                <w:kern w:val="0"/>
                <w:sz w:val="18"/>
                <w:szCs w:val="18"/>
                <w:highlight w:val="none"/>
                <w14:textFill>
                  <w14:solidFill>
                    <w14:schemeClr w14:val="tx1"/>
                  </w14:solidFill>
                </w14:textFill>
              </w:rPr>
            </w:pPr>
            <w:r>
              <w:rPr>
                <w:rFonts w:hint="eastAsia" w:ascii="宋体" w:hAnsi="宋体" w:eastAsia="宋体" w:cs="宋体"/>
                <w:b/>
                <w:color w:val="000000" w:themeColor="text1"/>
                <w:kern w:val="0"/>
                <w:sz w:val="18"/>
                <w:szCs w:val="18"/>
                <w:highlight w:val="none"/>
                <w14:textFill>
                  <w14:solidFill>
                    <w14:schemeClr w14:val="tx1"/>
                  </w14:solidFill>
                </w14:textFill>
              </w:rPr>
              <w:t>政府旅游管理服务</w:t>
            </w:r>
          </w:p>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政府旅游事务管理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　</w:t>
            </w:r>
          </w:p>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仅包括各级政府部门从事的与旅游相关的综合行政事务管理服务</w:t>
            </w:r>
          </w:p>
        </w:tc>
        <w:tc>
          <w:tcPr>
            <w:tcW w:w="2268" w:type="dxa"/>
            <w:noWrap w:val="0"/>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p>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9221*综合事务管理机构</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0" w:type="dxa"/>
            <w:bottom w:w="0" w:type="dxa"/>
            <w:right w:w="0" w:type="dxa"/>
          </w:tblCellMar>
        </w:tblPrEx>
        <w:trPr>
          <w:cantSplit/>
          <w:trHeight w:val="20" w:hRule="atLeast"/>
          <w:jc w:val="center"/>
        </w:trPr>
        <w:tc>
          <w:tcPr>
            <w:tcW w:w="2098" w:type="dxa"/>
            <w:noWrap/>
            <w:tcMar>
              <w:top w:w="0" w:type="dxa"/>
              <w:left w:w="108" w:type="dxa"/>
              <w:bottom w:w="0" w:type="dxa"/>
              <w:right w:w="108" w:type="dxa"/>
            </w:tcMar>
            <w:vAlign w:val="top"/>
          </w:tcPr>
          <w:p>
            <w:pPr>
              <w:overflowPunct w:val="0"/>
              <w:adjustRightInd w:val="0"/>
              <w:snapToGrid w:val="0"/>
              <w:ind w:firstLine="180" w:firstLineChars="10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涉外旅游事务管理</w:t>
            </w:r>
          </w:p>
        </w:tc>
        <w:tc>
          <w:tcPr>
            <w:tcW w:w="4252" w:type="dxa"/>
            <w:noWrap w:val="0"/>
            <w:tcMar>
              <w:top w:w="0" w:type="dxa"/>
              <w:left w:w="108" w:type="dxa"/>
              <w:bottom w:w="0" w:type="dxa"/>
              <w:right w:w="108" w:type="dxa"/>
            </w:tcMar>
            <w:vAlign w:val="top"/>
          </w:tcPr>
          <w:p>
            <w:pPr>
              <w:overflowPunct w:val="0"/>
              <w:adjustRightInd w:val="0"/>
              <w:snapToGrid w:val="0"/>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仅包括各级政府部门从事的旅游签证、护照等涉外事务管理服务</w:t>
            </w:r>
          </w:p>
        </w:tc>
        <w:tc>
          <w:tcPr>
            <w:tcW w:w="2268" w:type="dxa"/>
            <w:noWrap/>
            <w:tcMar>
              <w:top w:w="0" w:type="dxa"/>
              <w:left w:w="227" w:type="dxa"/>
              <w:bottom w:w="0" w:type="dxa"/>
              <w:right w:w="108" w:type="dxa"/>
            </w:tcMar>
            <w:vAlign w:val="top"/>
          </w:tcPr>
          <w:p>
            <w:pPr>
              <w:overflowPunct w:val="0"/>
              <w:adjustRightInd w:val="0"/>
              <w:snapToGrid w:val="0"/>
              <w:jc w:val="left"/>
              <w:rPr>
                <w:rFonts w:hint="eastAsia" w:ascii="宋体" w:hAnsi="宋体" w:eastAsia="宋体" w:cs="宋体"/>
                <w:color w:val="000000" w:themeColor="text1"/>
                <w:kern w:val="0"/>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t>9222*对外事务管理机构</w:t>
            </w:r>
          </w:p>
        </w:tc>
      </w:tr>
    </w:tbl>
    <w:p>
      <w:pPr>
        <w:rPr>
          <w:rFonts w:hint="eastAsia"/>
          <w:color w:val="000000" w:themeColor="text1"/>
          <w:highlight w:val="none"/>
          <w:u w:val="single"/>
          <w:lang w:val="en-US" w:eastAsia="zh-CN"/>
          <w14:textFill>
            <w14:solidFill>
              <w14:schemeClr w14:val="tx1"/>
            </w14:solidFill>
          </w14:textFill>
        </w:rPr>
      </w:pPr>
      <w:r>
        <w:rPr>
          <w:rFonts w:hint="eastAsia" w:ascii="仿宋_GB2312" w:hAnsi="宋体" w:eastAsia="仿宋_GB2312" w:cs="宋体"/>
          <w:color w:val="000000" w:themeColor="text1"/>
          <w:spacing w:val="-4"/>
          <w:kern w:val="0"/>
          <w:szCs w:val="21"/>
          <w:highlight w:val="none"/>
          <w:u w:val="single"/>
          <w14:textFill>
            <w14:solidFill>
              <w14:schemeClr w14:val="tx1"/>
            </w14:solidFill>
          </w14:textFill>
        </w:rPr>
        <w:t>注：符号“*”表示该行业类别仅有部分内容属于</w:t>
      </w:r>
      <w:r>
        <w:rPr>
          <w:rFonts w:hint="eastAsia" w:ascii="仿宋_GB2312" w:hAnsi="宋体" w:eastAsia="仿宋_GB2312" w:cs="宋体"/>
          <w:color w:val="000000" w:themeColor="text1"/>
          <w:spacing w:val="-4"/>
          <w:kern w:val="0"/>
          <w:szCs w:val="21"/>
          <w:highlight w:val="none"/>
          <w:u w:val="single"/>
          <w:lang w:val="en-US" w:eastAsia="zh-CN"/>
          <w14:textFill>
            <w14:solidFill>
              <w14:schemeClr w14:val="tx1"/>
            </w14:solidFill>
          </w14:textFill>
        </w:rPr>
        <w:t>旅游</w:t>
      </w:r>
      <w:r>
        <w:rPr>
          <w:rFonts w:hint="eastAsia" w:ascii="仿宋_GB2312" w:hAnsi="宋体" w:eastAsia="仿宋_GB2312" w:cs="宋体"/>
          <w:color w:val="000000" w:themeColor="text1"/>
          <w:spacing w:val="-4"/>
          <w:kern w:val="0"/>
          <w:szCs w:val="21"/>
          <w:highlight w:val="none"/>
          <w:u w:val="single"/>
          <w14:textFill>
            <w14:solidFill>
              <w14:schemeClr w14:val="tx1"/>
            </w14:solidFill>
          </w14:textFill>
        </w:rPr>
        <w:t>及相关</w:t>
      </w:r>
      <w:r>
        <w:rPr>
          <w:rFonts w:hint="eastAsia" w:ascii="仿宋_GB2312" w:hAnsi="宋体" w:eastAsia="仿宋_GB2312" w:cs="宋体"/>
          <w:color w:val="000000" w:themeColor="text1"/>
          <w:spacing w:val="-4"/>
          <w:kern w:val="0"/>
          <w:szCs w:val="21"/>
          <w:highlight w:val="none"/>
          <w:u w:val="single"/>
          <w:lang w:val="en-US" w:eastAsia="zh-CN"/>
          <w14:textFill>
            <w14:solidFill>
              <w14:schemeClr w14:val="tx1"/>
            </w14:solidFill>
          </w14:textFill>
        </w:rPr>
        <w:t>行业</w:t>
      </w:r>
      <w:r>
        <w:rPr>
          <w:rFonts w:hint="eastAsia" w:ascii="仿宋_GB2312" w:hAnsi="宋体" w:eastAsia="仿宋_GB2312" w:cs="宋体"/>
          <w:color w:val="000000" w:themeColor="text1"/>
          <w:spacing w:val="-4"/>
          <w:kern w:val="0"/>
          <w:szCs w:val="21"/>
          <w:highlight w:val="none"/>
          <w:u w:val="singl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numPr>
          <w:ilvl w:val="0"/>
          <w:numId w:val="0"/>
        </w:numPr>
        <w:bidi w:val="0"/>
        <w:jc w:val="center"/>
        <w:outlineLvl w:val="1"/>
        <w:rPr>
          <w:rFonts w:hint="default" w:ascii="Times New Roman" w:hAnsi="Times New Roman" w:eastAsia="宋体" w:cs="Times New Roman"/>
          <w:b/>
          <w:bCs/>
          <w:color w:val="000000" w:themeColor="text1"/>
          <w:sz w:val="32"/>
          <w:szCs w:val="28"/>
          <w:highlight w:val="none"/>
          <w:lang w:val="en-US" w:eastAsia="zh-CN"/>
          <w14:textFill>
            <w14:solidFill>
              <w14:schemeClr w14:val="tx1"/>
            </w14:solidFill>
          </w14:textFill>
        </w:rPr>
      </w:pPr>
      <w:bookmarkStart w:id="53" w:name="_Toc13512"/>
      <w:r>
        <w:rPr>
          <w:rFonts w:hint="eastAsia" w:ascii="Times New Roman" w:hAnsi="Times New Roman" w:eastAsia="宋体" w:cs="Times New Roman"/>
          <w:b/>
          <w:bCs/>
          <w:color w:val="000000" w:themeColor="text1"/>
          <w:sz w:val="32"/>
          <w:szCs w:val="28"/>
          <w:highlight w:val="none"/>
          <w:lang w:val="en-US" w:eastAsia="zh-CN"/>
          <w14:textFill>
            <w14:solidFill>
              <w14:schemeClr w14:val="tx1"/>
            </w14:solidFill>
          </w14:textFill>
        </w:rPr>
        <w:t>（二）体育行业统计分类表</w:t>
      </w:r>
      <w:bookmarkEnd w:id="53"/>
    </w:p>
    <w:tbl>
      <w:tblPr>
        <w:tblStyle w:val="16"/>
        <w:tblW w:w="8618" w:type="dxa"/>
        <w:jc w:val="center"/>
        <w:tblBorders>
          <w:top w:val="single" w:color="auto" w:sz="6" w:space="0"/>
          <w:left w:val="none" w:color="auto" w:sz="0" w:space="0"/>
          <w:bottom w:val="single" w:color="auto" w:sz="6" w:space="0"/>
          <w:right w:val="none" w:color="auto" w:sz="0" w:space="0"/>
          <w:insideH w:val="none" w:color="auto" w:sz="0" w:space="0"/>
          <w:insideV w:val="single" w:color="auto" w:sz="6" w:space="0"/>
        </w:tblBorders>
        <w:tblLayout w:type="fixed"/>
        <w:tblCellMar>
          <w:top w:w="0" w:type="dxa"/>
          <w:left w:w="108" w:type="dxa"/>
          <w:bottom w:w="0" w:type="dxa"/>
          <w:right w:w="108" w:type="dxa"/>
        </w:tblCellMar>
      </w:tblPr>
      <w:tblGrid>
        <w:gridCol w:w="2098"/>
        <w:gridCol w:w="4252"/>
        <w:gridCol w:w="2268"/>
      </w:tblGrid>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12" w:hRule="atLeast"/>
          <w:tblHeader/>
          <w:jc w:val="center"/>
        </w:trPr>
        <w:tc>
          <w:tcPr>
            <w:tcW w:w="2098" w:type="dxa"/>
            <w:vMerge w:val="restart"/>
            <w:tcBorders>
              <w:top w:val="single" w:color="auto" w:sz="6" w:space="0"/>
              <w:bottom w:val="single" w:color="auto" w:sz="6" w:space="0"/>
            </w:tcBorders>
            <w:vAlign w:val="center"/>
          </w:tcPr>
          <w:p>
            <w:pPr>
              <w:widowControl/>
              <w:jc w:val="center"/>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类别名称</w:t>
            </w:r>
          </w:p>
        </w:tc>
        <w:tc>
          <w:tcPr>
            <w:tcW w:w="4252" w:type="dxa"/>
            <w:vMerge w:val="restart"/>
            <w:tcBorders>
              <w:top w:val="single" w:color="auto" w:sz="6" w:space="0"/>
              <w:bottom w:val="single" w:color="auto" w:sz="6" w:space="0"/>
            </w:tcBorders>
            <w:vAlign w:val="center"/>
          </w:tcPr>
          <w:p>
            <w:pPr>
              <w:widowControl/>
              <w:jc w:val="center"/>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说</w:t>
            </w:r>
            <w:r>
              <w:rPr>
                <w:rFonts w:ascii="宋体" w:hAnsi="宋体" w:cs="仿宋_GB2312"/>
                <w:b/>
                <w:bCs/>
                <w:color w:val="000000" w:themeColor="text1"/>
                <w:kern w:val="0"/>
                <w:sz w:val="18"/>
                <w:szCs w:val="18"/>
                <w:highlight w:val="none"/>
                <w14:textFill>
                  <w14:solidFill>
                    <w14:schemeClr w14:val="tx1"/>
                  </w14:solidFill>
                </w14:textFill>
              </w:rPr>
              <w:t xml:space="preserve">  </w:t>
            </w:r>
            <w:r>
              <w:rPr>
                <w:rFonts w:hint="eastAsia" w:ascii="宋体" w:hAnsi="宋体" w:cs="仿宋_GB2312"/>
                <w:b/>
                <w:bCs/>
                <w:color w:val="000000" w:themeColor="text1"/>
                <w:kern w:val="0"/>
                <w:sz w:val="18"/>
                <w:szCs w:val="18"/>
                <w:highlight w:val="none"/>
                <w14:textFill>
                  <w14:solidFill>
                    <w14:schemeClr w14:val="tx1"/>
                  </w14:solidFill>
                </w14:textFill>
              </w:rPr>
              <w:t>明</w:t>
            </w:r>
          </w:p>
        </w:tc>
        <w:tc>
          <w:tcPr>
            <w:tcW w:w="2268" w:type="dxa"/>
            <w:vMerge w:val="restart"/>
            <w:tcBorders>
              <w:top w:val="single" w:color="auto" w:sz="6" w:space="0"/>
              <w:bottom w:val="single" w:color="auto" w:sz="6" w:space="0"/>
            </w:tcBorders>
            <w:tcMar>
              <w:left w:w="108" w:type="dxa"/>
            </w:tcMar>
            <w:vAlign w:val="center"/>
          </w:tcPr>
          <w:p>
            <w:pPr>
              <w:widowControl/>
              <w:jc w:val="center"/>
              <w:rPr>
                <w:rFonts w:ascii="宋体" w:hAnsi="宋体" w:cs="仿宋_GB2312"/>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国民经济行业分类</w:t>
            </w:r>
          </w:p>
          <w:p>
            <w:pPr>
              <w:widowControl/>
              <w:jc w:val="center"/>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代码及名称（2017）</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312" w:hRule="atLeast"/>
          <w:tblHeader/>
          <w:jc w:val="center"/>
        </w:trPr>
        <w:tc>
          <w:tcPr>
            <w:tcW w:w="2098" w:type="dxa"/>
            <w:vMerge w:val="continue"/>
            <w:tcBorders>
              <w:top w:val="single" w:color="auto" w:sz="6" w:space="0"/>
              <w:bottom w:val="single" w:color="auto" w:sz="6" w:space="0"/>
            </w:tcBorders>
            <w:vAlign w:val="center"/>
          </w:tcPr>
          <w:p>
            <w:pPr>
              <w:widowControl/>
              <w:jc w:val="left"/>
              <w:rPr>
                <w:rFonts w:ascii="宋体" w:hAnsi="宋体"/>
                <w:b/>
                <w:bCs/>
                <w:color w:val="000000" w:themeColor="text1"/>
                <w:kern w:val="0"/>
                <w:sz w:val="18"/>
                <w:szCs w:val="18"/>
                <w:highlight w:val="none"/>
                <w14:textFill>
                  <w14:solidFill>
                    <w14:schemeClr w14:val="tx1"/>
                  </w14:solidFill>
                </w14:textFill>
              </w:rPr>
            </w:pPr>
          </w:p>
        </w:tc>
        <w:tc>
          <w:tcPr>
            <w:tcW w:w="4252" w:type="dxa"/>
            <w:vMerge w:val="continue"/>
            <w:tcBorders>
              <w:top w:val="single" w:color="auto" w:sz="6" w:space="0"/>
              <w:bottom w:val="single" w:color="auto" w:sz="6" w:space="0"/>
            </w:tcBorders>
            <w:vAlign w:val="center"/>
          </w:tcPr>
          <w:p>
            <w:pPr>
              <w:widowControl/>
              <w:rPr>
                <w:rFonts w:ascii="宋体" w:hAnsi="宋体"/>
                <w:b/>
                <w:bCs/>
                <w:color w:val="000000" w:themeColor="text1"/>
                <w:kern w:val="0"/>
                <w:sz w:val="18"/>
                <w:szCs w:val="18"/>
                <w:highlight w:val="none"/>
                <w14:textFill>
                  <w14:solidFill>
                    <w14:schemeClr w14:val="tx1"/>
                  </w14:solidFill>
                </w14:textFill>
              </w:rPr>
            </w:pPr>
          </w:p>
        </w:tc>
        <w:tc>
          <w:tcPr>
            <w:tcW w:w="2268" w:type="dxa"/>
            <w:vMerge w:val="continue"/>
            <w:tcBorders>
              <w:top w:val="single" w:color="auto" w:sz="6" w:space="0"/>
              <w:bottom w:val="single" w:color="auto" w:sz="6" w:space="0"/>
            </w:tcBorders>
            <w:tcMar>
              <w:left w:w="284" w:type="dxa"/>
            </w:tcMar>
            <w:vAlign w:val="center"/>
          </w:tcPr>
          <w:p>
            <w:pPr>
              <w:widowControl/>
              <w:jc w:val="left"/>
              <w:rPr>
                <w:rFonts w:ascii="宋体" w:hAnsi="宋体"/>
                <w:b/>
                <w:bCs/>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single" w:color="auto" w:sz="6" w:space="0"/>
            </w:tcBorders>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体育管理活动</w:t>
            </w:r>
          </w:p>
        </w:tc>
        <w:tc>
          <w:tcPr>
            <w:tcW w:w="4252" w:type="dxa"/>
            <w:tcBorders>
              <w:top w:val="single" w:color="auto" w:sz="6" w:space="0"/>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Borders>
              <w:top w:val="single" w:color="auto" w:sz="6" w:space="0"/>
            </w:tcBorders>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体育社会事务管理活动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指各级政府部门体育行政事务管理机构的管理活动</w:t>
            </w:r>
          </w:p>
        </w:tc>
        <w:tc>
          <w:tcPr>
            <w:tcW w:w="2268" w:type="dxa"/>
            <w:tcMar>
              <w:left w:w="284" w:type="dxa"/>
            </w:tcMar>
          </w:tcPr>
          <w:p>
            <w:pPr>
              <w:keepNext w:val="0"/>
              <w:keepLines w:val="0"/>
              <w:pageBreakBefore w:val="0"/>
              <w:widowControl/>
              <w:kinsoku/>
              <w:wordWrap/>
              <w:overflowPunct/>
              <w:topLinePunct w:val="0"/>
              <w:autoSpaceDE/>
              <w:autoSpaceDN/>
              <w:bidi w:val="0"/>
              <w:adjustRightInd/>
              <w:snapToGrid/>
              <w:jc w:val="left"/>
              <w:textAlignment w:val="auto"/>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9224* 社会事务管理机构</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体育社会组织管理活动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指体育专业团体、体育行业团体和体育基金会等的管理和服务活动</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9521* 专业性团体</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9522* 行业性团体</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9530* 基金会</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体育保障组织管理活动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8912  体育保障组织</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体育竞赛表演活动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职业体育竞赛表演活动</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指商业化、市场化的职业体育赛事活动的组织、宣传、训练，以及职业俱乐部和运动员的展示、交流等活动。主要包括足球、篮球、排球、棒球、乒乓球、羽毛球、拳击、马拉松</w:t>
            </w:r>
            <w:r>
              <w:rPr>
                <w:rFonts w:ascii="宋体" w:hAnsi="宋体" w:cs="仿宋_GB2312"/>
                <w:color w:val="000000" w:themeColor="text1"/>
                <w:kern w:val="0"/>
                <w:sz w:val="18"/>
                <w:szCs w:val="18"/>
                <w:highlight w:val="none"/>
                <w14:textFill>
                  <w14:solidFill>
                    <w14:schemeClr w14:val="tx1"/>
                  </w14:solidFill>
                </w14:textFill>
              </w:rPr>
              <w:t>、</w:t>
            </w:r>
            <w:r>
              <w:rPr>
                <w:rFonts w:hint="eastAsia" w:ascii="宋体" w:hAnsi="宋体" w:cs="仿宋_GB2312"/>
                <w:color w:val="000000" w:themeColor="text1"/>
                <w:kern w:val="0"/>
                <w:sz w:val="18"/>
                <w:szCs w:val="18"/>
                <w:highlight w:val="none"/>
                <w14:textFill>
                  <w14:solidFill>
                    <w14:schemeClr w14:val="tx1"/>
                  </w14:solidFill>
                </w14:textFill>
              </w:rPr>
              <w:t>围棋、电子竞技等运动项目</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8911* 体育竞赛组织</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非职业体育竞赛表演活动</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指非职业化的专业或业余运动项目比赛、训练、辅导、管理、宣传、运动队服务、运动员交流等活动，以及赛事承办者和相应推广机构等组织的活动</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8911* 体育竞赛组织</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体育健身休闲活动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运动休闲活动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5623  体育航空运动服务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8930  健身休闲活动</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群众体育活动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民族民间体育活动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指区域特色、民族民间体育（其中包括少数民族特色体育）以及体育非物质文化遗产的保护等活动</w:t>
            </w:r>
          </w:p>
        </w:tc>
        <w:tc>
          <w:tcPr>
            <w:tcW w:w="2268" w:type="dxa"/>
            <w:tcMar>
              <w:left w:w="284" w:type="dxa"/>
            </w:tcMar>
          </w:tcPr>
          <w:p>
            <w:pPr>
              <w:widowControl/>
              <w:ind w:left="735" w:hanging="630" w:hangingChars="350"/>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8840* 文物及非物质文化</w:t>
            </w:r>
          </w:p>
          <w:p>
            <w:pPr>
              <w:widowControl/>
              <w:ind w:firstLine="540" w:firstLineChars="300"/>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遗产保护</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其他群众体育活动</w:t>
            </w:r>
          </w:p>
          <w:p>
            <w:pPr>
              <w:widowControl/>
              <w:ind w:firstLine="420"/>
              <w:jc w:val="left"/>
              <w:rPr>
                <w:rFonts w:ascii="宋体" w:hAnsi="宋体" w:cs="仿宋_GB2312"/>
                <w:color w:val="000000" w:themeColor="text1"/>
                <w:kern w:val="0"/>
                <w:sz w:val="18"/>
                <w:szCs w:val="18"/>
                <w:highlight w:val="none"/>
                <w14:textFill>
                  <w14:solidFill>
                    <w14:schemeClr w14:val="tx1"/>
                  </w14:solidFill>
                </w14:textFill>
              </w:rPr>
            </w:pP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指由各级各类群众体育组织（其中包括各级体育总会、基层体育俱乐部等）、体育类社会服务和文体活动机构、全民健身活动站点等提供的服务和公益性群众体育活动</w:t>
            </w:r>
          </w:p>
        </w:tc>
        <w:tc>
          <w:tcPr>
            <w:tcW w:w="2268" w:type="dxa"/>
            <w:tcMar>
              <w:left w:w="284" w:type="dxa"/>
            </w:tcMar>
          </w:tcPr>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8870* 群众文体活动</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8919  其他体育组织</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其他体育休闲活动</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指体育娱乐电子游艺厅服务，网络体育游艺、电子竞技体育娱乐活动，游乐场体育休闲活动等</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6422* 互联网游戏服务</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9012* 电子游艺厅娱乐活动</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9013* 网吧活动</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9020* 游乐园</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体育场地和设施管理</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体育场馆管理</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8921  体育场馆管理</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体育服务综合体管理</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指以运动健身、体育培训、体育用品销售、运动康复等体育服务为主，融合了餐饮、娱乐、文化等多项活动的综合体的管理</w:t>
            </w:r>
          </w:p>
        </w:tc>
        <w:tc>
          <w:tcPr>
            <w:tcW w:w="2268" w:type="dxa"/>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7222* 商业综合体管理服务</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体育公园及其他体育场地设施管理</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指对设在社区、村庄、公园、广场等可提供体育服务的固定安装的体育器材、临时性体育场地设施和其他室外体育场地设施的管理（如全民健身路径、健身步道、拼装式游泳池），以及对体育主题公园的管理等</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7850* 城市公园管理</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8929  其他体育场地设施管理</w:t>
            </w:r>
          </w:p>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体育经纪与代理、广告与会展、表演与设计服务</w:t>
            </w:r>
          </w:p>
        </w:tc>
        <w:tc>
          <w:tcPr>
            <w:tcW w:w="4252" w:type="dxa"/>
          </w:tcPr>
          <w:p>
            <w:pPr>
              <w:widowControl/>
              <w:rPr>
                <w:rFonts w:ascii="宋体" w:hAnsi="宋体"/>
                <w:b/>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体育经纪与</w:t>
            </w:r>
            <w:r>
              <w:rPr>
                <w:rFonts w:ascii="宋体" w:hAnsi="宋体" w:cs="仿宋_GB2312"/>
                <w:color w:val="000000" w:themeColor="text1"/>
                <w:kern w:val="0"/>
                <w:sz w:val="18"/>
                <w:szCs w:val="18"/>
                <w:highlight w:val="none"/>
                <w14:textFill>
                  <w14:solidFill>
                    <w14:schemeClr w14:val="tx1"/>
                  </w14:solidFill>
                </w14:textFill>
              </w:rPr>
              <w:t>代理</w:t>
            </w:r>
            <w:r>
              <w:rPr>
                <w:rFonts w:hint="eastAsia" w:ascii="宋体" w:hAnsi="宋体" w:cs="仿宋_GB2312"/>
                <w:color w:val="000000" w:themeColor="text1"/>
                <w:kern w:val="0"/>
                <w:sz w:val="18"/>
                <w:szCs w:val="18"/>
                <w:highlight w:val="none"/>
                <w14:textFill>
                  <w14:solidFill>
                    <w14:schemeClr w14:val="tx1"/>
                  </w14:solidFill>
                </w14:textFill>
              </w:rPr>
              <w:t>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体育经纪人</w:t>
            </w:r>
          </w:p>
        </w:tc>
        <w:tc>
          <w:tcPr>
            <w:tcW w:w="4252" w:type="dxa"/>
          </w:tcPr>
          <w:p>
            <w:pPr>
              <w:widowControl/>
              <w:tabs>
                <w:tab w:val="center" w:pos="1309"/>
              </w:tabs>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9054  体育经纪人</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体育保险经纪服务</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指体育保险经纪服务</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6851* 保险经纪服务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体育中介代理服务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8991  体育中介代理服务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体育票务代理服务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指体育票务服务和体育票务代理服务</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7298* 票务代理服务</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体育广告与会展服务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体育会展服务</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7283  体育会展服务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ind w:firstLine="180" w:firstLineChars="100"/>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体育表演与</w:t>
            </w:r>
            <w:r>
              <w:rPr>
                <w:rFonts w:ascii="宋体" w:hAnsi="宋体" w:cs="仿宋_GB2312"/>
                <w:color w:val="000000" w:themeColor="text1"/>
                <w:kern w:val="0"/>
                <w:sz w:val="18"/>
                <w:szCs w:val="18"/>
                <w:highlight w:val="none"/>
                <w14:textFill>
                  <w14:solidFill>
                    <w14:schemeClr w14:val="tx1"/>
                  </w14:solidFill>
                </w14:textFill>
              </w:rPr>
              <w:t>设计服务</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体育表演服务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9052  体育表演服务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体育设计服务</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指体育产品工业设计、体育服装设计、体育产品和服务的专业设计、体育和休闲娱乐工程设计等服务</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7484* 工程设计活动</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7491* 工业设计服务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7492* 专业设计服务</w:t>
            </w:r>
          </w:p>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体育教育与培训</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学校体育教育活动</w:t>
            </w:r>
          </w:p>
        </w:tc>
        <w:tc>
          <w:tcPr>
            <w:tcW w:w="4252" w:type="dxa"/>
          </w:tcPr>
          <w:p>
            <w:pPr>
              <w:widowControl/>
              <w:rPr>
                <w:rFonts w:ascii="宋体" w:hAnsi="宋体"/>
                <w:strike/>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指专业体育院校的教学活动，高、中等院校的体育运动，体育经济、体育管理等专业的教学活动，各级各类学校的体育课程教学活动，各级各类学校的校园体育活动</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8321* 普通小学教育</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8331* 普通初中教育</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8332* 职业初中教育</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8334* 普通高中教育</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8336* 中等职业学校教育</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8341* 普通高等教育</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b/>
                <w:bCs/>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体育培训</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839</w:t>
            </w:r>
            <w:r>
              <w:rPr>
                <w:rFonts w:ascii="宋体" w:hAnsi="宋体"/>
                <w:color w:val="000000" w:themeColor="text1"/>
                <w:sz w:val="18"/>
                <w:szCs w:val="18"/>
                <w:highlight w:val="none"/>
                <w14:textFill>
                  <w14:solidFill>
                    <w14:schemeClr w14:val="tx1"/>
                  </w14:solidFill>
                </w14:textFill>
              </w:rPr>
              <w:t>1</w:t>
            </w:r>
            <w:r>
              <w:rPr>
                <w:rFonts w:hint="eastAsia" w:ascii="宋体" w:hAnsi="宋体"/>
                <w:color w:val="000000" w:themeColor="text1"/>
                <w:sz w:val="18"/>
                <w:szCs w:val="18"/>
                <w:highlight w:val="none"/>
                <w14:textFill>
                  <w14:solidFill>
                    <w14:schemeClr w14:val="tx1"/>
                  </w14:solidFill>
                </w14:textFill>
              </w:rPr>
              <w:t>* 职业技能培训</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839</w:t>
            </w:r>
            <w:r>
              <w:rPr>
                <w:rFonts w:ascii="宋体" w:hAnsi="宋体"/>
                <w:color w:val="000000" w:themeColor="text1"/>
                <w:sz w:val="18"/>
                <w:szCs w:val="18"/>
                <w:highlight w:val="none"/>
                <w14:textFill>
                  <w14:solidFill>
                    <w14:schemeClr w14:val="tx1"/>
                  </w14:solidFill>
                </w14:textFill>
              </w:rPr>
              <w:t xml:space="preserve">2  </w:t>
            </w:r>
            <w:r>
              <w:rPr>
                <w:rFonts w:hint="eastAsia" w:ascii="宋体" w:hAnsi="宋体"/>
                <w:color w:val="000000" w:themeColor="text1"/>
                <w:sz w:val="18"/>
                <w:szCs w:val="18"/>
                <w:highlight w:val="none"/>
                <w14:textFill>
                  <w14:solidFill>
                    <w14:schemeClr w14:val="tx1"/>
                  </w14:solidFill>
                </w14:textFill>
              </w:rPr>
              <w:t>体校及</w:t>
            </w:r>
            <w:r>
              <w:rPr>
                <w:rFonts w:ascii="宋体" w:hAnsi="宋体"/>
                <w:color w:val="000000" w:themeColor="text1"/>
                <w:sz w:val="18"/>
                <w:szCs w:val="18"/>
                <w:highlight w:val="none"/>
                <w14:textFill>
                  <w14:solidFill>
                    <w14:schemeClr w14:val="tx1"/>
                  </w14:solidFill>
                </w14:textFill>
              </w:rPr>
              <w:t>体育培训</w:t>
            </w:r>
          </w:p>
          <w:p>
            <w:pPr>
              <w:widowControl/>
              <w:rPr>
                <w:rFonts w:ascii="宋体" w:hAnsi="宋体"/>
                <w:color w:val="000000" w:themeColor="text1"/>
                <w:kern w:val="0"/>
                <w:sz w:val="18"/>
                <w:szCs w:val="18"/>
                <w:highlight w:val="none"/>
                <w14:textFill>
                  <w14:solidFill>
                    <w14:schemeClr w14:val="tx1"/>
                  </w14:solidFill>
                </w14:textFill>
              </w:rPr>
            </w:pPr>
            <w:r>
              <w:rPr>
                <w:rFonts w:ascii="宋体" w:hAnsi="宋体"/>
                <w:color w:val="000000" w:themeColor="text1"/>
                <w:sz w:val="18"/>
                <w:szCs w:val="18"/>
                <w:highlight w:val="none"/>
                <w14:textFill>
                  <w14:solidFill>
                    <w14:schemeClr w14:val="tx1"/>
                  </w14:solidFill>
                </w14:textFill>
              </w:rPr>
              <w:t xml:space="preserve">8399* </w:t>
            </w:r>
            <w:r>
              <w:rPr>
                <w:rFonts w:hint="eastAsia" w:ascii="宋体" w:hAnsi="宋体"/>
                <w:color w:val="000000" w:themeColor="text1"/>
                <w:sz w:val="18"/>
                <w:szCs w:val="18"/>
                <w:highlight w:val="none"/>
                <w14:textFill>
                  <w14:solidFill>
                    <w14:schemeClr w14:val="tx1"/>
                  </w14:solidFill>
                </w14:textFill>
              </w:rPr>
              <w:t>其他</w:t>
            </w:r>
            <w:r>
              <w:rPr>
                <w:rFonts w:ascii="宋体" w:hAnsi="宋体"/>
                <w:color w:val="000000" w:themeColor="text1"/>
                <w:sz w:val="18"/>
                <w:szCs w:val="18"/>
                <w:highlight w:val="none"/>
                <w14:textFill>
                  <w14:solidFill>
                    <w14:schemeClr w14:val="tx1"/>
                  </w14:solidFill>
                </w14:textFill>
              </w:rPr>
              <w:t>未列明教育</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体育传媒与信息服务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体育出版物出版服务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指体育类图书、报纸、期刊、音像制品、电子出版物出版和数字出版服务</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8621* 图书出版</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8622* 报纸出版</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8623* 期刊出版</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8624* 音像制品出版</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8625* 电子出版物出版</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8626* 数字出版</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8629</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其他出版业</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体育影视及其他传媒服务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指体育新闻的采访、编辑和发布服务，体育广播、电视</w:t>
            </w:r>
            <w:r>
              <w:rPr>
                <w:rFonts w:ascii="宋体" w:hAnsi="宋体" w:cs="仿宋_GB2312"/>
                <w:color w:val="000000" w:themeColor="text1"/>
                <w:kern w:val="0"/>
                <w:sz w:val="18"/>
                <w:szCs w:val="18"/>
                <w:highlight w:val="none"/>
                <w14:textFill>
                  <w14:solidFill>
                    <w14:schemeClr w14:val="tx1"/>
                  </w14:solidFill>
                </w14:textFill>
              </w:rPr>
              <w:t>、</w:t>
            </w:r>
            <w:r>
              <w:rPr>
                <w:rFonts w:hint="eastAsia" w:ascii="宋体" w:hAnsi="宋体" w:cs="仿宋_GB2312"/>
                <w:color w:val="000000" w:themeColor="text1"/>
                <w:kern w:val="0"/>
                <w:sz w:val="18"/>
                <w:szCs w:val="18"/>
                <w:highlight w:val="none"/>
                <w14:textFill>
                  <w14:solidFill>
                    <w14:schemeClr w14:val="tx1"/>
                  </w14:solidFill>
                </w14:textFill>
              </w:rPr>
              <w:t>电影等传媒节目的制作与播出以及体育摄影服务等</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8060* 摄影扩印服务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8610* 新闻业</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8710* 广播</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8720* 电视</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8730* 影视节目制作</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互联网体育服务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指互联网体育健身与赛事服务平台，体育APP应用，以及互联网体育信息发布、体育网络视听、</w:t>
            </w:r>
            <w:r>
              <w:rPr>
                <w:rFonts w:ascii="宋体" w:hAnsi="宋体" w:cs="仿宋_GB2312"/>
                <w:color w:val="000000" w:themeColor="text1"/>
                <w:kern w:val="0"/>
                <w:sz w:val="18"/>
                <w:szCs w:val="18"/>
                <w:highlight w:val="none"/>
                <w14:textFill>
                  <w14:solidFill>
                    <w14:schemeClr w14:val="tx1"/>
                  </w14:solidFill>
                </w14:textFill>
              </w:rPr>
              <w:t>体育网络</w:t>
            </w:r>
            <w:r>
              <w:rPr>
                <w:rFonts w:hint="eastAsia" w:ascii="宋体" w:hAnsi="宋体" w:cs="仿宋_GB2312"/>
                <w:color w:val="000000" w:themeColor="text1"/>
                <w:kern w:val="0"/>
                <w:sz w:val="18"/>
                <w:szCs w:val="18"/>
                <w:highlight w:val="none"/>
                <w14:textFill>
                  <w14:solidFill>
                    <w14:schemeClr w14:val="tx1"/>
                  </w14:solidFill>
                </w14:textFill>
              </w:rPr>
              <w:t>直播、体育大数据处理、体育物联网和“体育+互联网+其他业态”的融合发展活动等其他互联网体育服务</w:t>
            </w:r>
          </w:p>
        </w:tc>
        <w:tc>
          <w:tcPr>
            <w:tcW w:w="2268" w:type="dxa"/>
            <w:tcMar>
              <w:left w:w="284" w:type="dxa"/>
            </w:tcMar>
          </w:tcPr>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6422</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互联网</w:t>
            </w:r>
            <w:r>
              <w:rPr>
                <w:rFonts w:ascii="宋体" w:hAnsi="宋体"/>
                <w:color w:val="000000" w:themeColor="text1"/>
                <w:sz w:val="18"/>
                <w:szCs w:val="18"/>
                <w:highlight w:val="none"/>
                <w14:textFill>
                  <w14:solidFill>
                    <w14:schemeClr w14:val="tx1"/>
                  </w14:solidFill>
                </w14:textFill>
              </w:rPr>
              <w:t>游戏服务</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6429* 互联网其他信息服务</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6432* 互联网生活服务平台</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6450* 互联网数据服务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6490* 其他互联网服务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体育咨询</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7246  体育咨询</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体育博物馆服务</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指用于</w:t>
            </w:r>
            <w:r>
              <w:rPr>
                <w:rFonts w:ascii="宋体" w:hAnsi="宋体" w:cs="仿宋_GB2312"/>
                <w:color w:val="000000" w:themeColor="text1"/>
                <w:kern w:val="0"/>
                <w:sz w:val="18"/>
                <w:szCs w:val="18"/>
                <w:highlight w:val="none"/>
                <w14:textFill>
                  <w14:solidFill>
                    <w14:schemeClr w14:val="tx1"/>
                  </w14:solidFill>
                </w14:textFill>
              </w:rPr>
              <w:t>展</w:t>
            </w:r>
            <w:r>
              <w:rPr>
                <w:rFonts w:hint="eastAsia" w:ascii="宋体" w:hAnsi="宋体" w:cs="仿宋_GB2312"/>
                <w:color w:val="000000" w:themeColor="text1"/>
                <w:kern w:val="0"/>
                <w:sz w:val="18"/>
                <w:szCs w:val="18"/>
                <w:highlight w:val="none"/>
                <w14:textFill>
                  <w14:solidFill>
                    <w14:schemeClr w14:val="tx1"/>
                  </w14:solidFill>
                </w14:textFill>
              </w:rPr>
              <w:t>现体育历史</w:t>
            </w:r>
            <w:r>
              <w:rPr>
                <w:rFonts w:ascii="宋体" w:hAnsi="宋体" w:cs="仿宋_GB2312"/>
                <w:color w:val="000000" w:themeColor="text1"/>
                <w:kern w:val="0"/>
                <w:sz w:val="18"/>
                <w:szCs w:val="18"/>
                <w:highlight w:val="none"/>
                <w14:textFill>
                  <w14:solidFill>
                    <w14:schemeClr w14:val="tx1"/>
                  </w14:solidFill>
                </w14:textFill>
              </w:rPr>
              <w:t>发展过程、收藏</w:t>
            </w:r>
            <w:r>
              <w:rPr>
                <w:rFonts w:hint="eastAsia" w:ascii="宋体" w:hAnsi="宋体" w:cs="仿宋_GB2312"/>
                <w:color w:val="000000" w:themeColor="text1"/>
                <w:kern w:val="0"/>
                <w:sz w:val="18"/>
                <w:szCs w:val="18"/>
                <w:highlight w:val="none"/>
                <w14:textFill>
                  <w14:solidFill>
                    <w14:schemeClr w14:val="tx1"/>
                  </w14:solidFill>
                </w14:textFill>
              </w:rPr>
              <w:t>展示</w:t>
            </w:r>
            <w:r>
              <w:rPr>
                <w:rFonts w:ascii="宋体" w:hAnsi="宋体" w:cs="仿宋_GB2312"/>
                <w:color w:val="000000" w:themeColor="text1"/>
                <w:kern w:val="0"/>
                <w:sz w:val="18"/>
                <w:szCs w:val="18"/>
                <w:highlight w:val="none"/>
                <w14:textFill>
                  <w14:solidFill>
                    <w14:schemeClr w14:val="tx1"/>
                  </w14:solidFill>
                </w14:textFill>
              </w:rPr>
              <w:t>体育文物、宣传体育科普知识、</w:t>
            </w:r>
            <w:r>
              <w:rPr>
                <w:rFonts w:hint="eastAsia" w:ascii="宋体" w:hAnsi="宋体" w:cs="仿宋_GB2312"/>
                <w:color w:val="000000" w:themeColor="text1"/>
                <w:kern w:val="0"/>
                <w:sz w:val="18"/>
                <w:szCs w:val="18"/>
                <w:highlight w:val="none"/>
                <w14:textFill>
                  <w14:solidFill>
                    <w14:schemeClr w14:val="tx1"/>
                  </w14:solidFill>
                </w14:textFill>
              </w:rPr>
              <w:t>弘扬</w:t>
            </w:r>
            <w:r>
              <w:rPr>
                <w:rFonts w:ascii="宋体" w:hAnsi="宋体" w:cs="仿宋_GB2312"/>
                <w:color w:val="000000" w:themeColor="text1"/>
                <w:kern w:val="0"/>
                <w:sz w:val="18"/>
                <w:szCs w:val="18"/>
                <w:highlight w:val="none"/>
                <w14:textFill>
                  <w14:solidFill>
                    <w14:schemeClr w14:val="tx1"/>
                  </w14:solidFill>
                </w14:textFill>
              </w:rPr>
              <w:t>体育文化、传承体育精神</w:t>
            </w:r>
            <w:r>
              <w:rPr>
                <w:rFonts w:hint="eastAsia" w:ascii="宋体" w:hAnsi="宋体" w:cs="仿宋_GB2312"/>
                <w:color w:val="000000" w:themeColor="text1"/>
                <w:kern w:val="0"/>
                <w:sz w:val="18"/>
                <w:szCs w:val="18"/>
                <w:highlight w:val="none"/>
                <w14:textFill>
                  <w14:solidFill>
                    <w14:schemeClr w14:val="tx1"/>
                  </w14:solidFill>
                </w14:textFill>
              </w:rPr>
              <w:t>等</w:t>
            </w:r>
            <w:r>
              <w:rPr>
                <w:rFonts w:ascii="宋体" w:hAnsi="宋体" w:cs="仿宋_GB2312"/>
                <w:color w:val="000000" w:themeColor="text1"/>
                <w:kern w:val="0"/>
                <w:sz w:val="18"/>
                <w:szCs w:val="18"/>
                <w:highlight w:val="none"/>
                <w14:textFill>
                  <w14:solidFill>
                    <w14:schemeClr w14:val="tx1"/>
                  </w14:solidFill>
                </w14:textFill>
              </w:rPr>
              <w:t>的博物馆</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8850* 博物馆</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其他体育信息服务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指电子竞技数字内容服务、体育运动地理遥感信息服务和其他数字体育内容服务，以及体育培训、赛事、健身软件和电子竞技产品制作等体育应用软件开发与经营等信息技术服务</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6513* 应用软件开发</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6571* 地理遥感信息服务</w:t>
            </w:r>
          </w:p>
          <w:p>
            <w:pPr>
              <w:widowControl/>
              <w:ind w:left="630" w:hanging="540" w:hangingChars="300"/>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6572* 动漫、游戏数字内容服务</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6579* 其他数字内容服务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7242</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市场调查</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其他体育服务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体育旅游服务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观赏性体育旅游活动（如观赏体育赛事、体育节、体育表演等内容的旅游活动），组织体验性体育旅游活动的旅行社服务，以体育运动为目的的旅游景区服务，以及露营地、水上运动码头、体育特色小镇、体育产业园区等的管理服务</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5531* 客运港口</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6140  露营地服务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7221* 园区管理服务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7291* 旅行社及相关服务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7869* 其他游览景区管理</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体育健康与运动康复服务</w:t>
            </w:r>
          </w:p>
        </w:tc>
        <w:tc>
          <w:tcPr>
            <w:tcW w:w="4252" w:type="dxa"/>
          </w:tcPr>
          <w:p>
            <w:pPr>
              <w:rPr>
                <w:color w:val="000000" w:themeColor="text1"/>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指体质测试与监测服务，运动理疗服务，运动康复按摩服务，科学健身调理服务，科学健身指导服务</w:t>
            </w:r>
            <w:r>
              <w:rPr>
                <w:rFonts w:hint="eastAsia" w:ascii="宋体" w:hAnsi="宋体" w:cs="仿宋_GB2312"/>
                <w:color w:val="000000" w:themeColor="text1"/>
                <w:kern w:val="0"/>
                <w:sz w:val="18"/>
                <w:szCs w:val="18"/>
                <w:highlight w:val="none"/>
                <w:lang w:eastAsia="zh-CN"/>
                <w14:textFill>
                  <w14:solidFill>
                    <w14:schemeClr w14:val="tx1"/>
                  </w14:solidFill>
                </w14:textFill>
              </w:rPr>
              <w:t>，</w:t>
            </w:r>
            <w:r>
              <w:rPr>
                <w:rFonts w:hint="eastAsia" w:ascii="宋体" w:hAnsi="宋体" w:cs="仿宋_GB2312"/>
                <w:color w:val="000000" w:themeColor="text1"/>
                <w:kern w:val="0"/>
                <w:sz w:val="18"/>
                <w:szCs w:val="18"/>
                <w:highlight w:val="none"/>
                <w14:textFill>
                  <w14:solidFill>
                    <w14:schemeClr w14:val="tx1"/>
                  </w14:solidFill>
                </w14:textFill>
              </w:rPr>
              <w:t>专科医院、中医院、民族</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8053* 养生保健服务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8412* 中医医院</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8414*</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民族医院</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8415* 专科医院</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p>
        </w:tc>
        <w:tc>
          <w:tcPr>
            <w:tcW w:w="4252" w:type="dxa"/>
          </w:tcPr>
          <w:p>
            <w:pPr>
              <w:rPr>
                <w:color w:val="000000" w:themeColor="text1"/>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医院和疗养院提供的运动创伤治疗、运动康复等服务，运动康复辅具适配服务，运动</w:t>
            </w:r>
            <w:r>
              <w:rPr>
                <w:rFonts w:ascii="宋体" w:hAnsi="宋体" w:cs="仿宋_GB2312"/>
                <w:color w:val="000000" w:themeColor="text1"/>
                <w:kern w:val="0"/>
                <w:sz w:val="18"/>
                <w:szCs w:val="18"/>
                <w:highlight w:val="none"/>
                <w14:textFill>
                  <w14:solidFill>
                    <w14:schemeClr w14:val="tx1"/>
                  </w14:solidFill>
                </w14:textFill>
              </w:rPr>
              <w:t>减控体重、</w:t>
            </w:r>
            <w:r>
              <w:rPr>
                <w:rFonts w:hint="eastAsia" w:ascii="宋体" w:hAnsi="宋体" w:cs="仿宋_GB2312"/>
                <w:color w:val="000000" w:themeColor="text1"/>
                <w:kern w:val="0"/>
                <w:sz w:val="18"/>
                <w:szCs w:val="18"/>
                <w:highlight w:val="none"/>
                <w14:textFill>
                  <w14:solidFill>
                    <w14:schemeClr w14:val="tx1"/>
                  </w14:solidFill>
                </w14:textFill>
              </w:rPr>
              <w:t>运动养生保健等其他体育健康服务</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8416* 疗养院</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8522* 康复辅具适配服务</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8992  体育健康服务</w:t>
            </w:r>
          </w:p>
          <w:p>
            <w:pPr>
              <w:widowControl/>
              <w:rPr>
                <w:rFonts w:ascii="宋体" w:hAnsi="宋体"/>
                <w:color w:val="000000" w:themeColor="text1"/>
                <w:kern w:val="0"/>
                <w:sz w:val="18"/>
                <w:szCs w:val="18"/>
                <w:highlight w:val="none"/>
                <w14:textFill>
                  <w14:solidFill>
                    <w14:schemeClr w14:val="tx1"/>
                  </w14:solidFill>
                </w14:textFill>
              </w:rPr>
            </w:pPr>
          </w:p>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体育彩票服务</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9041  体育彩票服务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体育金融与资产管理服务</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指体育基金（含体育产业投资基金）管理服务，运动意外伤害保险服务，体育投资与资产管理服务，体育资源与产权交易服务</w:t>
            </w:r>
          </w:p>
        </w:tc>
        <w:tc>
          <w:tcPr>
            <w:tcW w:w="2268" w:type="dxa"/>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6720* 公开募集证券投资基金</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6731* 创业投资基金</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6732* 天使投资</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6760* 资本投资服务</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6814* 意外伤害保险</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7212</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投资</w:t>
            </w:r>
            <w:r>
              <w:rPr>
                <w:rFonts w:ascii="宋体" w:hAnsi="宋体"/>
                <w:color w:val="000000" w:themeColor="text1"/>
                <w:sz w:val="18"/>
                <w:szCs w:val="18"/>
                <w:highlight w:val="none"/>
                <w14:textFill>
                  <w14:solidFill>
                    <w14:schemeClr w14:val="tx1"/>
                  </w14:solidFill>
                </w14:textFill>
              </w:rPr>
              <w:t>与资产管理</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7213* 资源与产权交易服务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bottom w:val="nil"/>
            </w:tcBorders>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体育科技与知识产权服务</w:t>
            </w:r>
          </w:p>
        </w:tc>
        <w:tc>
          <w:tcPr>
            <w:tcW w:w="4252" w:type="dxa"/>
            <w:tcBorders>
              <w:bottom w:val="nil"/>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指体育科学研究服务，运动医学和实验发展服务，体育装备新材料研发，体育知识产权相关服务</w:t>
            </w:r>
          </w:p>
        </w:tc>
        <w:tc>
          <w:tcPr>
            <w:tcW w:w="2268" w:type="dxa"/>
            <w:tcBorders>
              <w:bottom w:val="nil"/>
            </w:tcBorders>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7320* 工程和技术研究和试验发展</w:t>
            </w:r>
          </w:p>
          <w:p>
            <w:pPr>
              <w:widowControl/>
              <w:ind w:left="735" w:hanging="630" w:hangingChars="350"/>
              <w:jc w:val="left"/>
              <w:rPr>
                <w:rFonts w:hint="eastAsia" w:ascii="宋体" w:hAnsi="宋体" w:eastAsia="宋体"/>
                <w:color w:val="000000" w:themeColor="text1"/>
                <w:sz w:val="18"/>
                <w:szCs w:val="18"/>
                <w:highlight w:val="none"/>
                <w:lang w:val="en-US" w:eastAsia="zh-CN"/>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7340* 医学研究和试验发</w:t>
            </w:r>
            <w:r>
              <w:rPr>
                <w:rFonts w:hint="eastAsia" w:ascii="宋体" w:hAnsi="宋体"/>
                <w:color w:val="000000" w:themeColor="text1"/>
                <w:sz w:val="18"/>
                <w:szCs w:val="18"/>
                <w:highlight w:val="none"/>
                <w:lang w:val="en-US" w:eastAsia="zh-CN"/>
                <w14:textFill>
                  <w14:solidFill>
                    <w14:schemeClr w14:val="tx1"/>
                  </w14:solidFill>
                </w14:textFill>
              </w:rPr>
              <w:t>展</w:t>
            </w:r>
          </w:p>
          <w:p>
            <w:pPr>
              <w:widowControl/>
              <w:ind w:left="720" w:leftChars="300" w:hanging="90" w:hangingChars="50"/>
              <w:jc w:val="left"/>
              <w:rPr>
                <w:rFonts w:ascii="宋体" w:hAnsi="宋体"/>
                <w:color w:val="000000" w:themeColor="text1"/>
                <w:kern w:val="0"/>
                <w:sz w:val="18"/>
                <w:szCs w:val="18"/>
                <w:highlight w:val="none"/>
                <w14:textFill>
                  <w14:solidFill>
                    <w14:schemeClr w14:val="tx1"/>
                  </w14:solidFill>
                </w14:textFill>
              </w:rPr>
            </w:pP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7350* 社会人文科学研究</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7520* 知识产权服务</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nil"/>
            </w:tcBorders>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其他未列明体育服务</w:t>
            </w:r>
          </w:p>
        </w:tc>
        <w:tc>
          <w:tcPr>
            <w:tcW w:w="4252" w:type="dxa"/>
            <w:tcBorders>
              <w:top w:val="nil"/>
              <w:bottom w:val="nil"/>
            </w:tcBorders>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Borders>
              <w:top w:val="nil"/>
              <w:bottom w:val="nil"/>
            </w:tcBorders>
            <w:tcMar>
              <w:left w:w="284" w:type="dxa"/>
            </w:tcMar>
          </w:tcPr>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7481</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工程</w:t>
            </w:r>
            <w:r>
              <w:rPr>
                <w:rFonts w:ascii="宋体" w:hAnsi="宋体"/>
                <w:color w:val="000000" w:themeColor="text1"/>
                <w:sz w:val="18"/>
                <w:szCs w:val="18"/>
                <w:highlight w:val="none"/>
                <w14:textFill>
                  <w14:solidFill>
                    <w14:schemeClr w14:val="tx1"/>
                  </w14:solidFill>
                </w14:textFill>
              </w:rPr>
              <w:t>管理服务</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7482</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工程</w:t>
            </w:r>
            <w:r>
              <w:rPr>
                <w:rFonts w:ascii="宋体" w:hAnsi="宋体"/>
                <w:color w:val="000000" w:themeColor="text1"/>
                <w:sz w:val="18"/>
                <w:szCs w:val="18"/>
                <w:highlight w:val="none"/>
                <w14:textFill>
                  <w14:solidFill>
                    <w14:schemeClr w14:val="tx1"/>
                  </w14:solidFill>
                </w14:textFill>
              </w:rPr>
              <w:t>监理服务</w:t>
            </w:r>
          </w:p>
          <w:p>
            <w:pPr>
              <w:widowControl/>
              <w:rPr>
                <w:rFonts w:ascii="宋体" w:hAnsi="宋体"/>
                <w:color w:val="000000" w:themeColor="text1"/>
                <w:sz w:val="18"/>
                <w:szCs w:val="18"/>
                <w:highlight w:val="none"/>
                <w14:textFill>
                  <w14:solidFill>
                    <w14:schemeClr w14:val="tx1"/>
                  </w14:solidFill>
                </w14:textFill>
              </w:rPr>
            </w:pPr>
            <w:r>
              <w:rPr>
                <w:rFonts w:ascii="宋体" w:hAnsi="宋体"/>
                <w:color w:val="000000" w:themeColor="text1"/>
                <w:sz w:val="18"/>
                <w:szCs w:val="18"/>
                <w:highlight w:val="none"/>
                <w14:textFill>
                  <w14:solidFill>
                    <w14:schemeClr w14:val="tx1"/>
                  </w14:solidFill>
                </w14:textFill>
              </w:rPr>
              <w:t xml:space="preserve">8211* </w:t>
            </w:r>
            <w:r>
              <w:rPr>
                <w:rFonts w:hint="eastAsia" w:ascii="宋体" w:hAnsi="宋体"/>
                <w:color w:val="000000" w:themeColor="text1"/>
                <w:sz w:val="18"/>
                <w:szCs w:val="18"/>
                <w:highlight w:val="none"/>
                <w14:textFill>
                  <w14:solidFill>
                    <w14:schemeClr w14:val="tx1"/>
                  </w14:solidFill>
                </w14:textFill>
              </w:rPr>
              <w:t>建筑物</w:t>
            </w:r>
            <w:r>
              <w:rPr>
                <w:rFonts w:ascii="宋体" w:hAnsi="宋体"/>
                <w:color w:val="000000" w:themeColor="text1"/>
                <w:sz w:val="18"/>
                <w:szCs w:val="18"/>
                <w:highlight w:val="none"/>
                <w14:textFill>
                  <w14:solidFill>
                    <w14:schemeClr w14:val="tx1"/>
                  </w14:solidFill>
                </w14:textFill>
              </w:rPr>
              <w:t>清洁服务</w:t>
            </w:r>
          </w:p>
          <w:p>
            <w:pPr>
              <w:widowControl/>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8219</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其他</w:t>
            </w:r>
            <w:r>
              <w:rPr>
                <w:rFonts w:ascii="宋体" w:hAnsi="宋体"/>
                <w:color w:val="000000" w:themeColor="text1"/>
                <w:sz w:val="18"/>
                <w:szCs w:val="18"/>
                <w:highlight w:val="none"/>
                <w14:textFill>
                  <w14:solidFill>
                    <w14:schemeClr w14:val="tx1"/>
                  </w14:solidFill>
                </w14:textFill>
              </w:rPr>
              <w:t>清洁服务</w:t>
            </w:r>
          </w:p>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8999  其他未列明体育</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tcBorders>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体育用品及相关产品制造</w:t>
            </w:r>
          </w:p>
        </w:tc>
        <w:tc>
          <w:tcPr>
            <w:tcW w:w="4252" w:type="dxa"/>
            <w:tcBorders>
              <w:top w:val="nil"/>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Borders>
              <w:top w:val="nil"/>
            </w:tcBorders>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体育用品及器材制造</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球类制造</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2441  球类制造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冰雪器材装备及配件制造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雪上、冰上运动项目器材装备及配件制造。主要包括滑雪类运动项目（含滑雪、北欧两项等）、滑冰类运动项目（含滑冰、花样滑冰、冰壶、冰球、雪橇运动等）的器材装备及配件制造，其他雪上、冰上运动器材装备及配件制造</w:t>
            </w:r>
          </w:p>
        </w:tc>
        <w:tc>
          <w:tcPr>
            <w:tcW w:w="2268" w:type="dxa"/>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2442* 专项运动器材及配件制造</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其他</w:t>
            </w:r>
            <w:r>
              <w:rPr>
                <w:rFonts w:ascii="宋体" w:hAnsi="宋体" w:cs="仿宋_GB2312"/>
                <w:color w:val="000000" w:themeColor="text1"/>
                <w:kern w:val="0"/>
                <w:sz w:val="18"/>
                <w:szCs w:val="18"/>
                <w:highlight w:val="none"/>
                <w14:textFill>
                  <w14:solidFill>
                    <w14:schemeClr w14:val="tx1"/>
                  </w14:solidFill>
                </w14:textFill>
              </w:rPr>
              <w:t>体育</w:t>
            </w:r>
            <w:r>
              <w:rPr>
                <w:rFonts w:hint="eastAsia" w:ascii="宋体" w:hAnsi="宋体" w:cs="仿宋_GB2312"/>
                <w:color w:val="000000" w:themeColor="text1"/>
                <w:kern w:val="0"/>
                <w:sz w:val="18"/>
                <w:szCs w:val="18"/>
                <w:highlight w:val="none"/>
                <w14:textFill>
                  <w14:solidFill>
                    <w14:schemeClr w14:val="tx1"/>
                  </w14:solidFill>
                </w14:textFill>
              </w:rPr>
              <w:t>专项运动器材及配件制造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指除冰雪器材装备外的各项竞技比赛和训练用器材及用品、相关体育场地器材设施的生产活动</w:t>
            </w:r>
          </w:p>
        </w:tc>
        <w:tc>
          <w:tcPr>
            <w:tcW w:w="2268" w:type="dxa"/>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2442* 专项运动器材及配件制造</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健身器材制造</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2443  健身器材制造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运动防护用具制造</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2444  运动防护用具制造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 xml:space="preserve">  特殊体育器械及配件制造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指武术、散打器械和用品制造，运动枪械及其用弹制造</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3329* 其他金属工具制造</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3399* 其他未列明金属制品制造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其他体育用品制造</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2449  其他体育用品制造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ind w:firstLine="180" w:firstLineChars="100"/>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运动车船及航空运动器材制造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运动汽车、摩托车制造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指生产、改装运动型多用途汽车，以及越野、山地、场地等运动摩托车制造</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3630* 改装汽车制造</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3751* 摩托车整车制造</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运动船艇制造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指赛艇、皮划艇、帆船、帆板、汽艇、摩托快艇、小艇、轻舟等运动器材及辅助用品制造</w:t>
            </w:r>
          </w:p>
        </w:tc>
        <w:tc>
          <w:tcPr>
            <w:tcW w:w="2268" w:type="dxa"/>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3733* 娱乐船和运动船制造</w:t>
            </w:r>
          </w:p>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航空运动器材制造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指体育航空器运动器材及零配件制造</w:t>
            </w:r>
          </w:p>
        </w:tc>
        <w:tc>
          <w:tcPr>
            <w:tcW w:w="2268" w:type="dxa"/>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3749* 其他航空航天器制造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体育用相关材料制造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运动地面用材料制造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指体育场馆的运动场地用木地板、塑胶和地胶的制造，运动场、高尔夫场等场地用的人造草坪制造</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2034* 木地板制造</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2916  运动场地用塑胶制造</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2928* 人造草坪制造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体育用新材料制造</w:t>
            </w:r>
          </w:p>
        </w:tc>
        <w:tc>
          <w:tcPr>
            <w:tcW w:w="4252" w:type="dxa"/>
          </w:tcPr>
          <w:p>
            <w:pPr>
              <w:widowControl/>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指用于体育用品、设备、器材等的金属合金材料、高强玻璃钢、高强合成纤维、高强碳纤维、高分子复合纤维等材料的制造</w:t>
            </w:r>
          </w:p>
        </w:tc>
        <w:tc>
          <w:tcPr>
            <w:tcW w:w="2268" w:type="dxa"/>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2651* 初级形态塑料及合成树脂制造</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2652* 合成橡胶制造</w:t>
            </w:r>
          </w:p>
          <w:p>
            <w:pPr>
              <w:widowControl/>
              <w:ind w:left="630" w:hanging="540" w:hangingChars="300"/>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2653* 合成纤维单（聚合）体制造</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2659* 其他合成材料制造</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2829* 其他合成纤维制造</w:t>
            </w:r>
          </w:p>
          <w:p>
            <w:pPr>
              <w:widowControl/>
              <w:ind w:left="630" w:hanging="540" w:hangingChars="3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3061* 玻璃纤维及制品制造</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3062* 玻璃</w:t>
            </w:r>
            <w:r>
              <w:rPr>
                <w:rFonts w:ascii="宋体" w:hAnsi="宋体"/>
                <w:color w:val="000000" w:themeColor="text1"/>
                <w:sz w:val="18"/>
                <w:szCs w:val="18"/>
                <w:highlight w:val="none"/>
                <w14:textFill>
                  <w14:solidFill>
                    <w14:schemeClr w14:val="tx1"/>
                  </w14:solidFill>
                </w14:textFill>
              </w:rPr>
              <w:t>纤维增强塑料制品制造</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3240* 有色金属合金制造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ind w:firstLine="180" w:firstLineChars="100"/>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体育相关用品和设备制造</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运动服装制造</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1811  运动机织服装制造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1821  运动休闲针织服装制造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运动鞋帽制造</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指纺织面运动鞋、运动皮鞋、运动用布面胶鞋、运动用塑料鞋靴及其他运动鞋制造，相关运动服饰制造，</w:t>
            </w:r>
            <w:r>
              <w:rPr>
                <w:rFonts w:ascii="宋体" w:hAnsi="宋体" w:cs="仿宋_GB2312"/>
                <w:color w:val="000000" w:themeColor="text1"/>
                <w:kern w:val="0"/>
                <w:sz w:val="18"/>
                <w:szCs w:val="18"/>
                <w:highlight w:val="none"/>
                <w14:textFill>
                  <w14:solidFill>
                    <w14:schemeClr w14:val="tx1"/>
                  </w14:solidFill>
                </w14:textFill>
              </w:rPr>
              <w:t>不包括运动帽、游泳帽的制造</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1830* 服饰制造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1951* 纺织面料鞋制造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1952* 皮鞋制造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1953* 塑料鞋制造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1954* 橡胶鞋制造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体育场馆用设备制造</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指体育计时记分系统设备制造，体育场馆塑料座椅制造，体育场馆灯光、音响、电子屏幕等设备制造</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2140* 塑料家具制造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3873* 舞台及场地用灯制造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3934* 专业音响设备制造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3939* 应用电视设备及其他广播电视设备制造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4028* 电子测量仪器制造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4030* 钟表与计时仪器制造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体育智能与可穿戴装备制造</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指体育场馆、健身房等场所和体育训练、竞赛、健身等活动用的智能设备和用品制造，可穿戴运动装备制造，运动智能无人机制造</w:t>
            </w:r>
          </w:p>
        </w:tc>
        <w:tc>
          <w:tcPr>
            <w:tcW w:w="2268" w:type="dxa"/>
            <w:tcMar>
              <w:left w:w="284" w:type="dxa"/>
            </w:tcMar>
          </w:tcPr>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3961* 可穿戴智能设备制造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3963* 智能无人飞行器制造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3969* 其他智能消费设备制造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运动饮料与运动营养品生产</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指运动功能性饮料、运动营养食品生产</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1491* 营养食品制造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1529* 茶饮料及其他饮料制造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 xml:space="preserve">  体育游艺娱乐用品设备制造</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供室内、桌上等游艺及娱乐场所使用的运动游乐设备（保龄球、台球、沙狐球、桌式足球等）、体育游艺器材和娱乐用品（军棋、跳棋、扑克牌等），主要安装在室内游乐场所的电子游乐设备，以及体育比赛用飞镖等弹射用具和汽车、火车、航空等仿真运动模型等产品的制造</w:t>
            </w:r>
          </w:p>
        </w:tc>
        <w:tc>
          <w:tcPr>
            <w:tcW w:w="2268" w:type="dxa"/>
            <w:tcMar>
              <w:left w:w="284" w:type="dxa"/>
            </w:tcMar>
          </w:tcPr>
          <w:p>
            <w:pPr>
              <w:widowControl/>
              <w:spacing w:line="300" w:lineRule="exact"/>
              <w:ind w:left="630" w:hanging="540" w:hangingChars="3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2319</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包装装潢及其他印刷</w:t>
            </w:r>
          </w:p>
          <w:p>
            <w:pPr>
              <w:widowControl/>
              <w:spacing w:line="300" w:lineRule="exac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2451* 电玩具制造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2452</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塑胶玩具制造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2453* 金属玩具制造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2454* 弹射玩具制造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2459* 其他玩具制造</w:t>
            </w:r>
          </w:p>
          <w:p>
            <w:pPr>
              <w:widowControl/>
              <w:spacing w:line="300" w:lineRule="exact"/>
              <w:ind w:left="630" w:hanging="540" w:hangingChars="3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2462  游艺用品及室内游艺器材制造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运动休闲车制造</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指野营宿营车挂车、房车及其配件制造，运动休闲两轮车及配件制造，非公路休闲车及配件制造</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3660* 汽车车身、挂车制造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3761* 自行车制造</w:t>
            </w:r>
          </w:p>
          <w:p>
            <w:pPr>
              <w:widowControl/>
              <w:spacing w:line="300" w:lineRule="exact"/>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3780* 非公路休闲车及零配件制造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运动康复训练和恢复按摩器材制造</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指运动康复训练器材、恢复按摩器材制造</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3586* 康复辅具制造</w:t>
            </w:r>
          </w:p>
          <w:p>
            <w:pPr>
              <w:widowControl/>
              <w:spacing w:line="300" w:lineRule="exact"/>
              <w:ind w:left="630" w:hanging="540" w:hangingChars="300"/>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3856* 家用美容、保健护理电器具制造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户外运动器材及其他体育相关用品制造</w:t>
            </w: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指户外帐篷、运动眼镜等户外运动器材制造，体育项目用网（兜）制造，体育奖杯和纪念证章以及其他体育相关用品制造</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1782* 绳、索、缆制造</w:t>
            </w:r>
          </w:p>
          <w:p>
            <w:pPr>
              <w:widowControl/>
              <w:spacing w:line="300" w:lineRule="exac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1784* 篷、帆布制造</w:t>
            </w:r>
          </w:p>
          <w:p>
            <w:pPr>
              <w:widowControl/>
              <w:spacing w:line="300" w:lineRule="exact"/>
              <w:ind w:left="630" w:hanging="540" w:hangingChars="3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3389* 其他金属制日用品制造</w:t>
            </w:r>
          </w:p>
          <w:p>
            <w:pPr>
              <w:widowControl/>
              <w:spacing w:line="300" w:lineRule="exac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3587* 眼镜制造</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3792</w:t>
            </w:r>
            <w:r>
              <w:rPr>
                <w:rFonts w:ascii="宋体" w:hAnsi="宋体"/>
                <w:color w:val="000000" w:themeColor="text1"/>
                <w:sz w:val="18"/>
                <w:szCs w:val="18"/>
                <w:highlight w:val="none"/>
                <w14:textFill>
                  <w14:solidFill>
                    <w14:schemeClr w14:val="tx1"/>
                  </w14:solidFill>
                </w14:textFill>
              </w:rPr>
              <w:t xml:space="preserve">* </w:t>
            </w:r>
            <w:r>
              <w:rPr>
                <w:rFonts w:hint="eastAsia" w:ascii="宋体" w:hAnsi="宋体"/>
                <w:color w:val="000000" w:themeColor="text1"/>
                <w:sz w:val="18"/>
                <w:szCs w:val="18"/>
                <w:highlight w:val="none"/>
                <w14:textFill>
                  <w14:solidFill>
                    <w14:schemeClr w14:val="tx1"/>
                  </w14:solidFill>
                </w14:textFill>
              </w:rPr>
              <w:t>水下</w:t>
            </w:r>
            <w:r>
              <w:rPr>
                <w:rFonts w:ascii="宋体" w:hAnsi="宋体"/>
                <w:color w:val="000000" w:themeColor="text1"/>
                <w:sz w:val="18"/>
                <w:szCs w:val="18"/>
                <w:highlight w:val="none"/>
                <w14:textFill>
                  <w14:solidFill>
                    <w14:schemeClr w14:val="tx1"/>
                  </w14:solidFill>
                </w14:textFill>
              </w:rPr>
              <w:t>救捞装备制造</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体育用品及相关产品销售、出租与贸易代理</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体育及相关产品销售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vMerge w:val="restart"/>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体育用品及器材销售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spacing w:line="300" w:lineRule="exact"/>
              <w:jc w:val="left"/>
              <w:rPr>
                <w:rFonts w:hint="eastAsia" w:ascii="宋体" w:hAnsi="宋体" w:eastAsia="宋体"/>
                <w:color w:val="000000" w:themeColor="text1"/>
                <w:kern w:val="0"/>
                <w:sz w:val="18"/>
                <w:szCs w:val="18"/>
                <w:highlight w:val="none"/>
                <w:lang w:val="en-US" w:eastAsia="zh-CN"/>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5142  体育用品及器材批</w:t>
            </w:r>
            <w:r>
              <w:rPr>
                <w:rFonts w:hint="eastAsia" w:ascii="宋体" w:hAnsi="宋体"/>
                <w:color w:val="000000" w:themeColor="text1"/>
                <w:sz w:val="18"/>
                <w:szCs w:val="18"/>
                <w:highlight w:val="none"/>
                <w:lang w:val="en-US" w:eastAsia="zh-CN"/>
                <w14:textFill>
                  <w14:solidFill>
                    <w14:schemeClr w14:val="tx1"/>
                  </w14:solidFill>
                </w14:textFill>
              </w:rPr>
              <w:t>发</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vMerge w:val="continue"/>
          </w:tcPr>
          <w:p>
            <w:pPr>
              <w:widowControl/>
              <w:spacing w:line="300" w:lineRule="exact"/>
              <w:jc w:val="left"/>
              <w:rPr>
                <w:rFonts w:ascii="宋体" w:hAnsi="宋体" w:cs="仿宋_GB2312"/>
                <w:color w:val="000000" w:themeColor="text1"/>
                <w:kern w:val="0"/>
                <w:sz w:val="18"/>
                <w:szCs w:val="18"/>
                <w:highlight w:val="none"/>
                <w14:textFill>
                  <w14:solidFill>
                    <w14:schemeClr w14:val="tx1"/>
                  </w14:solidFill>
                </w14:textFill>
              </w:rPr>
            </w:pPr>
          </w:p>
        </w:tc>
        <w:tc>
          <w:tcPr>
            <w:tcW w:w="4252" w:type="dxa"/>
          </w:tcPr>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p>
        </w:tc>
        <w:tc>
          <w:tcPr>
            <w:tcW w:w="2268" w:type="dxa"/>
            <w:tcMar>
              <w:left w:w="284" w:type="dxa"/>
            </w:tcMar>
          </w:tcPr>
          <w:p>
            <w:pPr>
              <w:widowControl/>
              <w:spacing w:line="300" w:lineRule="exact"/>
              <w:ind w:firstLine="540" w:firstLineChars="300"/>
              <w:rPr>
                <w:rFonts w:ascii="宋体" w:hAnsi="宋体"/>
                <w:color w:val="000000" w:themeColor="text1"/>
                <w:kern w:val="0"/>
                <w:sz w:val="18"/>
                <w:szCs w:val="18"/>
                <w:highlight w:val="none"/>
                <w14:textFill>
                  <w14:solidFill>
                    <w14:schemeClr w14:val="tx1"/>
                  </w14:solidFill>
                </w14:textFill>
              </w:rPr>
            </w:pPr>
          </w:p>
          <w:p>
            <w:pPr>
              <w:widowControl/>
              <w:spacing w:line="300" w:lineRule="exact"/>
              <w:ind w:left="630" w:hanging="540" w:hangingChars="3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5242  体育用品及器材零售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运动服装销售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指运动及休闲服装批发、零售服务</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5132* 服装批发</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5232* 服装零售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运动鞋帽销售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指运动鞋帽批发、零售服务</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5133* 鞋帽批发</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5233* 鞋帽零售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运动饮料与运动营养品销售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指运动功能性饮料、运动营养食品批发、零售服务</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5126* 营养和保健品批发</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5127* 酒、饮料及茶叶批发</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5225* 营养和保健品零售</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5226* 酒、饮料及茶叶零售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体育出版物销售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指体育图书、报纸、期刊、音像、电子和数字出版物的批发、进出口和销售服务</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5143* 图书批发</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5144* 报刊批发</w:t>
            </w:r>
          </w:p>
          <w:p>
            <w:pPr>
              <w:widowControl/>
              <w:spacing w:line="300" w:lineRule="exact"/>
              <w:ind w:left="630" w:hanging="540" w:hangingChars="300"/>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5145* 音像制品、电子和数字出版物批发</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5243* 图书、报刊零售</w:t>
            </w:r>
          </w:p>
          <w:p>
            <w:pPr>
              <w:widowControl/>
              <w:spacing w:line="300" w:lineRule="exact"/>
              <w:ind w:left="630" w:hanging="540" w:hangingChars="300"/>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5244* 音像制品、电子和数字出版物零售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体育游艺等其他体育用品及相关产品销售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指台球、飞镖、沙狐球、仿真运动模型以及游艺娱乐用品及其他体育文化用品批发和进出口服务，休闲运动车零售服务</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5149* 其他文化用品批发</w:t>
            </w:r>
          </w:p>
          <w:p>
            <w:pPr>
              <w:widowControl/>
              <w:spacing w:line="300" w:lineRule="exact"/>
              <w:ind w:left="630" w:hanging="540" w:hangingChars="3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5238* 自行车等代步设备零售</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5249* 其他文化用品零售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体育用品及相关产品综合销售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指百货、超市销售中的体育及相关产品零售服务</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5211* 百货零售</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5212* 超级市场零售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spacing w:line="300" w:lineRule="exact"/>
              <w:jc w:val="left"/>
              <w:rPr>
                <w:rFonts w:ascii="宋体" w:hAnsi="宋体"/>
                <w:color w:val="000000" w:themeColor="text1"/>
                <w:kern w:val="0"/>
                <w:sz w:val="18"/>
                <w:szCs w:val="18"/>
                <w:highlight w:val="none"/>
                <w14:textFill>
                  <w14:solidFill>
                    <w14:schemeClr w14:val="tx1"/>
                  </w14:solidFill>
                </w14:textFill>
              </w:rPr>
            </w:pPr>
            <w:r>
              <w:rPr>
                <w:rFonts w:ascii="宋体" w:hAnsi="宋体" w:cs="仿宋_GB2312"/>
                <w:color w:val="000000" w:themeColor="text1"/>
                <w:kern w:val="0"/>
                <w:sz w:val="18"/>
                <w:szCs w:val="18"/>
                <w:highlight w:val="none"/>
                <w14:textFill>
                  <w14:solidFill>
                    <w14:schemeClr w14:val="tx1"/>
                  </w14:solidFill>
                </w14:textFill>
              </w:rPr>
              <w:t xml:space="preserve">    </w:t>
            </w:r>
            <w:r>
              <w:rPr>
                <w:rFonts w:hint="eastAsia" w:ascii="宋体" w:hAnsi="宋体" w:cs="仿宋_GB2312"/>
                <w:color w:val="000000" w:themeColor="text1"/>
                <w:kern w:val="0"/>
                <w:sz w:val="18"/>
                <w:szCs w:val="18"/>
                <w:highlight w:val="none"/>
                <w14:textFill>
                  <w14:solidFill>
                    <w14:schemeClr w14:val="tx1"/>
                  </w14:solidFill>
                </w14:textFill>
              </w:rPr>
              <w:t>体育用品及相关产品互联网销售</w:t>
            </w:r>
          </w:p>
        </w:tc>
        <w:tc>
          <w:tcPr>
            <w:tcW w:w="4252" w:type="dxa"/>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指体育用品、运动康复等器材、器具以及运动服装鞋帽的互联网批发和零售，体育电子商务服务</w:t>
            </w:r>
          </w:p>
        </w:tc>
        <w:tc>
          <w:tcPr>
            <w:tcW w:w="2268" w:type="dxa"/>
            <w:tcMar>
              <w:left w:w="284" w:type="dxa"/>
            </w:tcMar>
          </w:tcPr>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5193* 互联网批发</w:t>
            </w:r>
          </w:p>
          <w:p>
            <w:pPr>
              <w:widowControl/>
              <w:spacing w:line="300" w:lineRule="exac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5292* 互联网零售</w:t>
            </w:r>
          </w:p>
          <w:p>
            <w:pPr>
              <w:widowControl/>
              <w:spacing w:line="300" w:lineRule="exact"/>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体育用品设备出租</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7122  体育用品设备出租</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体育用品及相关产品贸易代理</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指体育用品及相关产品贸易经纪与代理活动</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5181* 贸易代理</w:t>
            </w:r>
          </w:p>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5189* 其他贸易经纪与代理</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jc w:val="left"/>
              <w:rPr>
                <w:rFonts w:ascii="宋体" w:hAnsi="宋体"/>
                <w:b/>
                <w:bCs/>
                <w:color w:val="000000" w:themeColor="text1"/>
                <w:kern w:val="0"/>
                <w:sz w:val="18"/>
                <w:szCs w:val="18"/>
                <w:highlight w:val="none"/>
                <w14:textFill>
                  <w14:solidFill>
                    <w14:schemeClr w14:val="tx1"/>
                  </w14:solidFill>
                </w14:textFill>
              </w:rPr>
            </w:pPr>
            <w:r>
              <w:rPr>
                <w:rFonts w:hint="eastAsia" w:ascii="宋体" w:hAnsi="宋体" w:cs="仿宋_GB2312"/>
                <w:b/>
                <w:bCs/>
                <w:color w:val="000000" w:themeColor="text1"/>
                <w:kern w:val="0"/>
                <w:sz w:val="18"/>
                <w:szCs w:val="18"/>
                <w:highlight w:val="none"/>
                <w14:textFill>
                  <w14:solidFill>
                    <w14:schemeClr w14:val="tx1"/>
                  </w14:solidFill>
                </w14:textFill>
              </w:rPr>
              <w:t>体育场地设施建设</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w:t>
            </w:r>
          </w:p>
        </w:tc>
        <w:tc>
          <w:tcPr>
            <w:tcW w:w="2268" w:type="dxa"/>
            <w:tcMar>
              <w:left w:w="284" w:type="dxa"/>
            </w:tcMar>
          </w:tcPr>
          <w:p>
            <w:pPr>
              <w:widowControl/>
              <w:rPr>
                <w:rFonts w:ascii="宋体" w:hAnsi="宋体"/>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Pr>
          <w:p>
            <w:pPr>
              <w:widowControl/>
              <w:ind w:firstLine="180" w:firstLineChars="1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体育场馆建筑和装饰装修</w:t>
            </w:r>
          </w:p>
        </w:tc>
        <w:tc>
          <w:tcPr>
            <w:tcW w:w="4252" w:type="dxa"/>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Mar>
              <w:left w:w="284" w:type="dxa"/>
            </w:tcMar>
          </w:tcPr>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bottom w:val="nil"/>
            </w:tcBorders>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体育场馆及设施建筑</w:t>
            </w:r>
          </w:p>
        </w:tc>
        <w:tc>
          <w:tcPr>
            <w:tcW w:w="4252" w:type="dxa"/>
            <w:tcBorders>
              <w:bottom w:val="nil"/>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kern w:val="0"/>
                <w:sz w:val="18"/>
                <w:szCs w:val="18"/>
                <w:highlight w:val="none"/>
                <w14:textFill>
                  <w14:solidFill>
                    <w14:schemeClr w14:val="tx1"/>
                  </w14:solidFill>
                </w14:textFill>
              </w:rPr>
              <w:t xml:space="preserve">  指体育馆工程服务、体育及休闲健身用房屋建设活动，以及城市自行车骑行和健身步道、跑步道工程建筑活动</w:t>
            </w:r>
          </w:p>
        </w:tc>
        <w:tc>
          <w:tcPr>
            <w:tcW w:w="2268" w:type="dxa"/>
            <w:tcBorders>
              <w:bottom w:val="nil"/>
            </w:tcBorders>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4720  体育场馆建筑</w:t>
            </w:r>
          </w:p>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4813* 市政道路工程建筑</w:t>
            </w:r>
          </w:p>
          <w:p>
            <w:pPr>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nil"/>
            </w:tcBorders>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体育场馆装饰装修</w:t>
            </w:r>
          </w:p>
        </w:tc>
        <w:tc>
          <w:tcPr>
            <w:tcW w:w="4252" w:type="dxa"/>
            <w:tcBorders>
              <w:top w:val="nil"/>
              <w:bottom w:val="nil"/>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指体育场馆建筑的装饰装修</w:t>
            </w:r>
          </w:p>
        </w:tc>
        <w:tc>
          <w:tcPr>
            <w:tcW w:w="2268" w:type="dxa"/>
            <w:tcBorders>
              <w:top w:val="nil"/>
              <w:bottom w:val="nil"/>
            </w:tcBorders>
            <w:tcMar>
              <w:left w:w="284" w:type="dxa"/>
            </w:tcMar>
          </w:tcPr>
          <w:p>
            <w:pPr>
              <w:widowControl/>
              <w:rPr>
                <w:rFonts w:hint="eastAsia" w:ascii="宋体" w:hAnsi="宋体" w:eastAsia="宋体"/>
                <w:color w:val="000000" w:themeColor="text1"/>
                <w:kern w:val="0"/>
                <w:sz w:val="18"/>
                <w:szCs w:val="18"/>
                <w:highlight w:val="none"/>
                <w:lang w:val="en-US" w:eastAsia="zh-CN"/>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5011* 公共建筑装饰和装</w:t>
            </w:r>
            <w:r>
              <w:rPr>
                <w:rFonts w:hint="eastAsia" w:ascii="宋体" w:hAnsi="宋体"/>
                <w:color w:val="000000" w:themeColor="text1"/>
                <w:sz w:val="18"/>
                <w:szCs w:val="18"/>
                <w:highlight w:val="none"/>
                <w:lang w:val="en-US" w:eastAsia="zh-CN"/>
                <w14:textFill>
                  <w14:solidFill>
                    <w14:schemeClr w14:val="tx1"/>
                  </w14:solidFill>
                </w14:textFill>
              </w:rPr>
              <w:t>修</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nil"/>
            </w:tcBorders>
          </w:tcPr>
          <w:p>
            <w:pPr>
              <w:widowControl/>
              <w:ind w:firstLine="360" w:firstLineChars="200"/>
              <w:jc w:val="left"/>
              <w:rPr>
                <w:rFonts w:ascii="宋体" w:hAnsi="宋体" w:cs="仿宋_GB2312"/>
                <w:color w:val="000000" w:themeColor="text1"/>
                <w:kern w:val="0"/>
                <w:sz w:val="18"/>
                <w:szCs w:val="18"/>
                <w:highlight w:val="none"/>
                <w14:textFill>
                  <w14:solidFill>
                    <w14:schemeClr w14:val="tx1"/>
                  </w14:solidFill>
                </w14:textFill>
              </w:rPr>
            </w:pPr>
          </w:p>
        </w:tc>
        <w:tc>
          <w:tcPr>
            <w:tcW w:w="4252" w:type="dxa"/>
            <w:tcBorders>
              <w:top w:val="nil"/>
              <w:bottom w:val="nil"/>
            </w:tcBorders>
          </w:tcPr>
          <w:p>
            <w:pPr>
              <w:widowControl/>
              <w:rPr>
                <w:rFonts w:ascii="宋体" w:hAnsi="宋体" w:cs="仿宋_GB2312"/>
                <w:color w:val="000000" w:themeColor="text1"/>
                <w:kern w:val="0"/>
                <w:sz w:val="18"/>
                <w:szCs w:val="18"/>
                <w:highlight w:val="none"/>
                <w14:textFill>
                  <w14:solidFill>
                    <w14:schemeClr w14:val="tx1"/>
                  </w14:solidFill>
                </w14:textFill>
              </w:rPr>
            </w:pPr>
          </w:p>
        </w:tc>
        <w:tc>
          <w:tcPr>
            <w:tcW w:w="2268" w:type="dxa"/>
            <w:tcBorders>
              <w:top w:val="nil"/>
              <w:bottom w:val="nil"/>
            </w:tcBorders>
            <w:tcMar>
              <w:left w:w="284" w:type="dxa"/>
            </w:tcMar>
          </w:tcPr>
          <w:p>
            <w:pPr>
              <w:widowControl/>
              <w:ind w:firstLine="540" w:firstLineChars="300"/>
              <w:rPr>
                <w:rFonts w:ascii="宋体" w:hAnsi="宋体"/>
                <w:color w:val="000000" w:themeColor="text1"/>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nil"/>
            </w:tcBorders>
          </w:tcPr>
          <w:p>
            <w:pPr>
              <w:widowControl/>
              <w:ind w:firstLine="180" w:firstLineChars="100"/>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体育场地设施工程施工和安装</w:t>
            </w:r>
          </w:p>
        </w:tc>
        <w:tc>
          <w:tcPr>
            <w:tcW w:w="4252" w:type="dxa"/>
            <w:tcBorders>
              <w:top w:val="nil"/>
              <w:bottom w:val="nil"/>
            </w:tcBorders>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Borders>
              <w:top w:val="nil"/>
              <w:bottom w:val="nil"/>
            </w:tcBorders>
            <w:tcMar>
              <w:left w:w="284" w:type="dxa"/>
            </w:tcMar>
          </w:tcPr>
          <w:p>
            <w:pPr>
              <w:widowControl/>
              <w:rPr>
                <w:rFonts w:ascii="宋体" w:hAnsi="宋体" w:cs="仿宋_GB2312"/>
                <w:color w:val="000000" w:themeColor="text1"/>
                <w:kern w:val="0"/>
                <w:sz w:val="18"/>
                <w:szCs w:val="18"/>
                <w:highlight w:val="none"/>
                <w14:textFill>
                  <w14:solidFill>
                    <w14:schemeClr w14:val="tx1"/>
                  </w14:solidFill>
                </w14:textFill>
              </w:rPr>
            </w:pP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nil"/>
            </w:tcBorders>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足球场地设施工程施工</w:t>
            </w:r>
          </w:p>
        </w:tc>
        <w:tc>
          <w:tcPr>
            <w:tcW w:w="4252" w:type="dxa"/>
            <w:tcBorders>
              <w:top w:val="nil"/>
              <w:bottom w:val="nil"/>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kern w:val="0"/>
                <w:sz w:val="18"/>
                <w:szCs w:val="18"/>
                <w:highlight w:val="none"/>
                <w14:textFill>
                  <w14:solidFill>
                    <w14:schemeClr w14:val="tx1"/>
                  </w14:solidFill>
                </w14:textFill>
              </w:rPr>
              <w:t xml:space="preserve">  指足球场地设施工程施工</w:t>
            </w:r>
          </w:p>
        </w:tc>
        <w:tc>
          <w:tcPr>
            <w:tcW w:w="2268" w:type="dxa"/>
            <w:tcBorders>
              <w:top w:val="nil"/>
              <w:bottom w:val="nil"/>
            </w:tcBorders>
            <w:tcMar>
              <w:left w:w="284" w:type="dxa"/>
            </w:tcMar>
          </w:tcPr>
          <w:p>
            <w:pPr>
              <w:widowControl/>
              <w:ind w:left="630" w:hanging="540" w:hangingChars="300"/>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4892</w:t>
            </w:r>
            <w:r>
              <w:rPr>
                <w:rFonts w:ascii="宋体" w:hAnsi="宋体"/>
                <w:color w:val="000000" w:themeColor="text1"/>
                <w:sz w:val="18"/>
                <w:szCs w:val="18"/>
                <w:highlight w:val="none"/>
                <w14:textFill>
                  <w14:solidFill>
                    <w14:schemeClr w14:val="tx1"/>
                  </w14:solidFill>
                </w14:textFill>
              </w:rPr>
              <w:t>*</w:t>
            </w:r>
            <w:r>
              <w:rPr>
                <w:rFonts w:hint="eastAsia" w:ascii="宋体" w:hAnsi="宋体"/>
                <w:color w:val="000000" w:themeColor="text1"/>
                <w:sz w:val="18"/>
                <w:szCs w:val="18"/>
                <w:highlight w:val="none"/>
                <w14:textFill>
                  <w14:solidFill>
                    <w14:schemeClr w14:val="tx1"/>
                  </w14:solidFill>
                </w14:textFill>
              </w:rPr>
              <w:t xml:space="preserve"> 体育场地设施工程施工</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nil"/>
            </w:tcBorders>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冰雪场地设施工程施工</w:t>
            </w:r>
          </w:p>
        </w:tc>
        <w:tc>
          <w:tcPr>
            <w:tcW w:w="4252" w:type="dxa"/>
            <w:tcBorders>
              <w:top w:val="nil"/>
              <w:bottom w:val="nil"/>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kern w:val="0"/>
                <w:sz w:val="18"/>
                <w:szCs w:val="18"/>
                <w:highlight w:val="none"/>
                <w14:textFill>
                  <w14:solidFill>
                    <w14:schemeClr w14:val="tx1"/>
                  </w14:solidFill>
                </w14:textFill>
              </w:rPr>
              <w:t xml:space="preserve">  指</w:t>
            </w:r>
            <w:r>
              <w:rPr>
                <w:rFonts w:hint="eastAsia" w:ascii="宋体" w:hAnsi="宋体" w:cs="仿宋_GB2312"/>
                <w:color w:val="000000" w:themeColor="text1"/>
                <w:kern w:val="0"/>
                <w:sz w:val="18"/>
                <w:szCs w:val="18"/>
                <w:highlight w:val="none"/>
                <w14:textFill>
                  <w14:solidFill>
                    <w14:schemeClr w14:val="tx1"/>
                  </w14:solidFill>
                </w14:textFill>
              </w:rPr>
              <w:t>冰</w:t>
            </w:r>
            <w:r>
              <w:rPr>
                <w:rFonts w:hint="eastAsia" w:ascii="宋体" w:hAnsi="宋体"/>
                <w:color w:val="000000" w:themeColor="text1"/>
                <w:kern w:val="0"/>
                <w:sz w:val="18"/>
                <w:szCs w:val="18"/>
                <w:highlight w:val="none"/>
                <w14:textFill>
                  <w14:solidFill>
                    <w14:schemeClr w14:val="tx1"/>
                  </w14:solidFill>
                </w14:textFill>
              </w:rPr>
              <w:t>雪场地设施工程施工</w:t>
            </w:r>
          </w:p>
        </w:tc>
        <w:tc>
          <w:tcPr>
            <w:tcW w:w="2268" w:type="dxa"/>
            <w:tcBorders>
              <w:top w:val="nil"/>
              <w:bottom w:val="nil"/>
            </w:tcBorders>
            <w:tcMar>
              <w:left w:w="284" w:type="dxa"/>
            </w:tcMar>
          </w:tcPr>
          <w:p>
            <w:pPr>
              <w:widowControl/>
              <w:ind w:left="630" w:hanging="540" w:hangingChars="300"/>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4892</w:t>
            </w:r>
            <w:r>
              <w:rPr>
                <w:rFonts w:ascii="宋体" w:hAnsi="宋体"/>
                <w:color w:val="000000" w:themeColor="text1"/>
                <w:sz w:val="18"/>
                <w:szCs w:val="18"/>
                <w:highlight w:val="none"/>
                <w14:textFill>
                  <w14:solidFill>
                    <w14:schemeClr w14:val="tx1"/>
                  </w14:solidFill>
                </w14:textFill>
              </w:rPr>
              <w:t>*</w:t>
            </w:r>
            <w:r>
              <w:rPr>
                <w:rFonts w:hint="eastAsia" w:ascii="宋体" w:hAnsi="宋体"/>
                <w:color w:val="000000" w:themeColor="text1"/>
                <w:sz w:val="18"/>
                <w:szCs w:val="18"/>
                <w:highlight w:val="none"/>
                <w14:textFill>
                  <w14:solidFill>
                    <w14:schemeClr w14:val="tx1"/>
                  </w14:solidFill>
                </w14:textFill>
              </w:rPr>
              <w:t xml:space="preserve"> 体育场地设施工程施工</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nil"/>
            </w:tcBorders>
          </w:tcPr>
          <w:p>
            <w:pPr>
              <w:widowControl/>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其他体育场地设施工程施工</w:t>
            </w:r>
          </w:p>
        </w:tc>
        <w:tc>
          <w:tcPr>
            <w:tcW w:w="4252" w:type="dxa"/>
            <w:tcBorders>
              <w:top w:val="nil"/>
              <w:bottom w:val="nil"/>
            </w:tcBorders>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kern w:val="0"/>
                <w:sz w:val="18"/>
                <w:szCs w:val="18"/>
                <w:highlight w:val="none"/>
                <w14:textFill>
                  <w14:solidFill>
                    <w14:schemeClr w14:val="tx1"/>
                  </w14:solidFill>
                </w14:textFill>
              </w:rPr>
              <w:t xml:space="preserve">  指除足球场、</w:t>
            </w:r>
            <w:r>
              <w:rPr>
                <w:rFonts w:hint="eastAsia" w:ascii="宋体" w:hAnsi="宋体" w:cs="仿宋_GB2312"/>
                <w:color w:val="000000" w:themeColor="text1"/>
                <w:kern w:val="0"/>
                <w:sz w:val="18"/>
                <w:szCs w:val="18"/>
                <w:highlight w:val="none"/>
                <w14:textFill>
                  <w14:solidFill>
                    <w14:schemeClr w14:val="tx1"/>
                  </w14:solidFill>
                </w14:textFill>
              </w:rPr>
              <w:t>冰</w:t>
            </w:r>
            <w:r>
              <w:rPr>
                <w:rFonts w:hint="eastAsia" w:ascii="宋体" w:hAnsi="宋体"/>
                <w:color w:val="000000" w:themeColor="text1"/>
                <w:kern w:val="0"/>
                <w:sz w:val="18"/>
                <w:szCs w:val="18"/>
                <w:highlight w:val="none"/>
                <w14:textFill>
                  <w14:solidFill>
                    <w14:schemeClr w14:val="tx1"/>
                  </w14:solidFill>
                </w14:textFill>
              </w:rPr>
              <w:t>雪场之外的其他体育场地设施工程施工</w:t>
            </w:r>
          </w:p>
        </w:tc>
        <w:tc>
          <w:tcPr>
            <w:tcW w:w="2268" w:type="dxa"/>
            <w:tcBorders>
              <w:top w:val="nil"/>
              <w:bottom w:val="nil"/>
            </w:tcBorders>
            <w:tcMar>
              <w:left w:w="284" w:type="dxa"/>
            </w:tcMar>
          </w:tcPr>
          <w:p>
            <w:pPr>
              <w:widowControl/>
              <w:ind w:left="630" w:hanging="540" w:hangingChars="300"/>
              <w:jc w:val="left"/>
              <w:rPr>
                <w:rFonts w:ascii="宋体" w:hAnsi="宋体" w:cs="仿宋_GB2312"/>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4892</w:t>
            </w:r>
            <w:r>
              <w:rPr>
                <w:rFonts w:ascii="宋体" w:hAnsi="宋体"/>
                <w:color w:val="000000" w:themeColor="text1"/>
                <w:sz w:val="18"/>
                <w:szCs w:val="18"/>
                <w:highlight w:val="none"/>
                <w14:textFill>
                  <w14:solidFill>
                    <w14:schemeClr w14:val="tx1"/>
                  </w14:solidFill>
                </w14:textFill>
              </w:rPr>
              <w:t>*</w:t>
            </w:r>
            <w:r>
              <w:rPr>
                <w:rFonts w:hint="eastAsia" w:ascii="宋体" w:hAnsi="宋体"/>
                <w:color w:val="000000" w:themeColor="text1"/>
                <w:sz w:val="18"/>
                <w:szCs w:val="18"/>
                <w:highlight w:val="none"/>
                <w14:textFill>
                  <w14:solidFill>
                    <w14:schemeClr w14:val="tx1"/>
                  </w14:solidFill>
                </w14:textFill>
              </w:rPr>
              <w:t xml:space="preserve"> 体育场地设施工程施工</w:t>
            </w:r>
          </w:p>
        </w:tc>
      </w:tr>
      <w:tr>
        <w:tblPrEx>
          <w:tblBorders>
            <w:top w:val="single" w:color="auto" w:sz="6" w:space="0"/>
            <w:left w:val="none" w:color="auto" w:sz="0" w:space="0"/>
            <w:bottom w:val="single" w:color="auto" w:sz="6" w:space="0"/>
            <w:right w:val="none" w:color="auto" w:sz="0" w:space="0"/>
            <w:insideH w:val="none" w:color="auto" w:sz="0" w:space="0"/>
            <w:insideV w:val="single" w:color="auto" w:sz="6" w:space="0"/>
          </w:tblBorders>
          <w:tblCellMar>
            <w:top w:w="0" w:type="dxa"/>
            <w:left w:w="108" w:type="dxa"/>
            <w:bottom w:w="0" w:type="dxa"/>
            <w:right w:w="108" w:type="dxa"/>
          </w:tblCellMar>
        </w:tblPrEx>
        <w:trPr>
          <w:trHeight w:val="0" w:hRule="atLeast"/>
          <w:jc w:val="center"/>
        </w:trPr>
        <w:tc>
          <w:tcPr>
            <w:tcW w:w="2098" w:type="dxa"/>
            <w:tcBorders>
              <w:top w:val="nil"/>
              <w:bottom w:val="single" w:color="auto" w:sz="6" w:space="0"/>
            </w:tcBorders>
          </w:tcPr>
          <w:p>
            <w:pPr>
              <w:widowControl/>
              <w:jc w:val="left"/>
              <w:rPr>
                <w:rFonts w:ascii="宋体" w:hAnsi="宋体"/>
                <w:color w:val="000000" w:themeColor="text1"/>
                <w:kern w:val="0"/>
                <w:sz w:val="18"/>
                <w:szCs w:val="18"/>
                <w:highlight w:val="none"/>
                <w14:textFill>
                  <w14:solidFill>
                    <w14:schemeClr w14:val="tx1"/>
                  </w14:solidFill>
                </w14:textFill>
              </w:rPr>
            </w:pPr>
            <w:r>
              <w:rPr>
                <w:rFonts w:hint="eastAsia" w:ascii="宋体" w:hAnsi="宋体" w:cs="仿宋_GB2312"/>
                <w:color w:val="000000" w:themeColor="text1"/>
                <w:kern w:val="0"/>
                <w:sz w:val="18"/>
                <w:szCs w:val="18"/>
                <w:highlight w:val="none"/>
                <w14:textFill>
                  <w14:solidFill>
                    <w14:schemeClr w14:val="tx1"/>
                  </w14:solidFill>
                </w14:textFill>
              </w:rPr>
              <w:t xml:space="preserve">    体育场地设施安装</w:t>
            </w:r>
          </w:p>
        </w:tc>
        <w:tc>
          <w:tcPr>
            <w:tcW w:w="4252" w:type="dxa"/>
            <w:tcBorders>
              <w:top w:val="nil"/>
              <w:bottom w:val="single" w:color="auto" w:sz="6" w:space="0"/>
            </w:tcBorders>
          </w:tcPr>
          <w:p>
            <w:pPr>
              <w:widowControl/>
              <w:rPr>
                <w:rFonts w:ascii="宋体" w:hAnsi="宋体"/>
                <w:color w:val="000000" w:themeColor="text1"/>
                <w:kern w:val="0"/>
                <w:sz w:val="18"/>
                <w:szCs w:val="18"/>
                <w:highlight w:val="none"/>
                <w14:textFill>
                  <w14:solidFill>
                    <w14:schemeClr w14:val="tx1"/>
                  </w14:solidFill>
                </w14:textFill>
              </w:rPr>
            </w:pPr>
          </w:p>
        </w:tc>
        <w:tc>
          <w:tcPr>
            <w:tcW w:w="2268" w:type="dxa"/>
            <w:tcBorders>
              <w:top w:val="nil"/>
              <w:bottom w:val="single" w:color="auto" w:sz="6" w:space="0"/>
            </w:tcBorders>
            <w:tcMar>
              <w:left w:w="284" w:type="dxa"/>
            </w:tcMar>
          </w:tcPr>
          <w:p>
            <w:pPr>
              <w:widowControl/>
              <w:rPr>
                <w:rFonts w:ascii="宋体" w:hAnsi="宋体"/>
                <w:color w:val="000000" w:themeColor="text1"/>
                <w:kern w:val="0"/>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4991  体育场地设施安装</w:t>
            </w:r>
          </w:p>
        </w:tc>
      </w:tr>
    </w:tbl>
    <w:p>
      <w:pPr>
        <w:keepNext w:val="0"/>
        <w:keepLines w:val="0"/>
        <w:pageBreakBefore w:val="0"/>
        <w:widowControl w:val="0"/>
        <w:kinsoku/>
        <w:wordWrap/>
        <w:overflowPunct/>
        <w:topLinePunct w:val="0"/>
        <w:autoSpaceDE/>
        <w:autoSpaceDN/>
        <w:bidi w:val="0"/>
        <w:adjustRightInd w:val="0"/>
        <w:snapToGrid w:val="0"/>
        <w:spacing w:line="400" w:lineRule="exact"/>
        <w:ind w:firstLine="404"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宋体"/>
          <w:color w:val="000000" w:themeColor="text1"/>
          <w:spacing w:val="-4"/>
          <w:kern w:val="0"/>
          <w:szCs w:val="21"/>
          <w:highlight w:val="none"/>
          <w:u w:val="single"/>
          <w14:textFill>
            <w14:solidFill>
              <w14:schemeClr w14:val="tx1"/>
            </w14:solidFill>
          </w14:textFill>
        </w:rPr>
        <w:t>注：符号“*”表示该行业类别仅有部分内容属于</w:t>
      </w:r>
      <w:r>
        <w:rPr>
          <w:rFonts w:hint="eastAsia" w:ascii="仿宋_GB2312" w:hAnsi="宋体" w:eastAsia="仿宋_GB2312" w:cs="宋体"/>
          <w:color w:val="000000" w:themeColor="text1"/>
          <w:spacing w:val="-4"/>
          <w:kern w:val="0"/>
          <w:szCs w:val="21"/>
          <w:highlight w:val="none"/>
          <w:u w:val="single"/>
          <w:lang w:val="en-US" w:eastAsia="zh-CN"/>
          <w14:textFill>
            <w14:solidFill>
              <w14:schemeClr w14:val="tx1"/>
            </w14:solidFill>
          </w14:textFill>
        </w:rPr>
        <w:t>体育</w:t>
      </w:r>
      <w:r>
        <w:rPr>
          <w:rFonts w:hint="eastAsia" w:ascii="仿宋_GB2312" w:hAnsi="宋体" w:eastAsia="仿宋_GB2312" w:cs="宋体"/>
          <w:color w:val="000000" w:themeColor="text1"/>
          <w:spacing w:val="-4"/>
          <w:kern w:val="0"/>
          <w:szCs w:val="21"/>
          <w:highlight w:val="none"/>
          <w:u w:val="single"/>
          <w14:textFill>
            <w14:solidFill>
              <w14:schemeClr w14:val="tx1"/>
            </w14:solidFill>
          </w14:textFill>
        </w:rPr>
        <w:t>及相关产业。</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numPr>
          <w:ilvl w:val="0"/>
          <w:numId w:val="0"/>
        </w:numPr>
        <w:bidi w:val="0"/>
        <w:jc w:val="center"/>
        <w:outlineLvl w:val="1"/>
        <w:rPr>
          <w:rFonts w:hint="default" w:ascii="Times New Roman" w:hAnsi="Times New Roman" w:eastAsia="宋体" w:cs="Times New Roman"/>
          <w:b/>
          <w:bCs/>
          <w:color w:val="000000" w:themeColor="text1"/>
          <w:sz w:val="32"/>
          <w:szCs w:val="28"/>
          <w:highlight w:val="none"/>
          <w:lang w:val="en-US" w:eastAsia="zh-CN"/>
          <w14:textFill>
            <w14:solidFill>
              <w14:schemeClr w14:val="tx1"/>
            </w14:solidFill>
          </w14:textFill>
        </w:rPr>
      </w:pPr>
      <w:bookmarkStart w:id="54" w:name="_Toc31582"/>
      <w:r>
        <w:rPr>
          <w:rFonts w:hint="eastAsia" w:ascii="Times New Roman" w:hAnsi="Times New Roman" w:eastAsia="宋体" w:cs="Times New Roman"/>
          <w:b/>
          <w:bCs/>
          <w:color w:val="000000" w:themeColor="text1"/>
          <w:sz w:val="32"/>
          <w:szCs w:val="28"/>
          <w:highlight w:val="none"/>
          <w:lang w:val="en-US" w:eastAsia="zh-CN"/>
          <w14:textFill>
            <w14:solidFill>
              <w14:schemeClr w14:val="tx1"/>
            </w14:solidFill>
          </w14:textFill>
        </w:rPr>
        <w:t>（三）文化行业统计分类表</w:t>
      </w:r>
      <w:bookmarkEnd w:id="54"/>
    </w:p>
    <w:tbl>
      <w:tblPr>
        <w:tblStyle w:val="16"/>
        <w:tblW w:w="8618" w:type="dxa"/>
        <w:jc w:val="center"/>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Layout w:type="fixed"/>
        <w:tblCellMar>
          <w:top w:w="32" w:type="dxa"/>
          <w:left w:w="64" w:type="dxa"/>
          <w:bottom w:w="32" w:type="dxa"/>
          <w:right w:w="64" w:type="dxa"/>
        </w:tblCellMar>
      </w:tblPr>
      <w:tblGrid>
        <w:gridCol w:w="2098"/>
        <w:gridCol w:w="4360"/>
        <w:gridCol w:w="2160"/>
      </w:tblGrid>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tblHeader/>
          <w:jc w:val="center"/>
        </w:trPr>
        <w:tc>
          <w:tcPr>
            <w:tcW w:w="2098" w:type="dxa"/>
            <w:tcBorders>
              <w:tl2br w:val="nil"/>
              <w:tr2bl w:val="nil"/>
            </w:tcBorders>
            <w:shd w:val="clear" w:color="auto" w:fill="auto"/>
            <w:vAlign w:val="center"/>
          </w:tcPr>
          <w:p>
            <w:pPr>
              <w:widowControl/>
              <w:snapToGrid w:val="0"/>
              <w:jc w:val="left"/>
              <w:rPr>
                <w:rFonts w:hint="eastAsia" w:ascii="宋体" w:eastAsia="宋体" w:hAnsiTheme="minorEastAsia" w:cstheme="minorEastAsia"/>
                <w:b/>
                <w:bCs/>
                <w:color w:val="000000" w:themeColor="text1"/>
                <w:kern w:val="0"/>
                <w:sz w:val="18"/>
                <w:szCs w:val="18"/>
                <w:highlight w:val="none"/>
                <w:lang w:val="en-US" w:eastAsia="zh-CN" w:bidi="ar-SA"/>
                <w14:textFill>
                  <w14:solidFill>
                    <w14:schemeClr w14:val="tx1"/>
                  </w14:solidFill>
                </w14:textFill>
              </w:rPr>
            </w:pPr>
            <w:r>
              <w:rPr>
                <w:rFonts w:hint="eastAsia" w:ascii="宋体" w:eastAsia="宋体" w:hAnsiTheme="minorEastAsia" w:cstheme="minorEastAsia"/>
                <w:b/>
                <w:bCs/>
                <w:color w:val="000000" w:themeColor="text1"/>
                <w:kern w:val="0"/>
                <w:sz w:val="18"/>
                <w:szCs w:val="18"/>
                <w:highlight w:val="none"/>
                <w:lang w:eastAsia="zh-CN"/>
                <w14:textFill>
                  <w14:solidFill>
                    <w14:schemeClr w14:val="tx1"/>
                  </w14:solidFill>
                </w14:textFill>
              </w:rPr>
              <w:t>类别名称</w:t>
            </w:r>
          </w:p>
        </w:tc>
        <w:tc>
          <w:tcPr>
            <w:tcW w:w="4360" w:type="dxa"/>
            <w:tcBorders>
              <w:tl2br w:val="nil"/>
              <w:tr2bl w:val="nil"/>
            </w:tcBorders>
            <w:shd w:val="clear" w:color="auto" w:fill="auto"/>
            <w:vAlign w:val="center"/>
          </w:tcPr>
          <w:p>
            <w:pPr>
              <w:widowControl/>
              <w:snapToGrid w:val="0"/>
              <w:jc w:val="center"/>
              <w:rPr>
                <w:rFonts w:hint="eastAsia" w:ascii="宋体" w:eastAsia="宋体" w:hAnsiTheme="minorEastAsia" w:cstheme="minorEastAsia"/>
                <w:b/>
                <w:bCs/>
                <w:color w:val="000000" w:themeColor="text1"/>
                <w:kern w:val="0"/>
                <w:sz w:val="18"/>
                <w:szCs w:val="18"/>
                <w:highlight w:val="none"/>
                <w:lang w:val="en-US" w:eastAsia="zh-CN" w:bidi="ar-SA"/>
                <w14:textFill>
                  <w14:solidFill>
                    <w14:schemeClr w14:val="tx1"/>
                  </w14:solidFill>
                </w14:textFill>
              </w:rPr>
            </w:pPr>
            <w:r>
              <w:rPr>
                <w:rFonts w:hint="eastAsia" w:ascii="宋体" w:eastAsia="宋体" w:hAnsiTheme="minorEastAsia" w:cstheme="minorEastAsia"/>
                <w:b/>
                <w:bCs/>
                <w:color w:val="000000" w:themeColor="text1"/>
                <w:kern w:val="0"/>
                <w:sz w:val="18"/>
                <w:szCs w:val="18"/>
                <w:highlight w:val="none"/>
                <w:lang w:eastAsia="zh-CN"/>
                <w14:textFill>
                  <w14:solidFill>
                    <w14:schemeClr w14:val="tx1"/>
                  </w14:solidFill>
                </w14:textFill>
              </w:rPr>
              <w:t>说明</w:t>
            </w:r>
          </w:p>
        </w:tc>
        <w:tc>
          <w:tcPr>
            <w:tcW w:w="2160" w:type="dxa"/>
            <w:tcBorders>
              <w:tl2br w:val="nil"/>
              <w:tr2bl w:val="nil"/>
            </w:tcBorders>
            <w:shd w:val="clear" w:color="auto" w:fill="auto"/>
            <w:vAlign w:val="center"/>
          </w:tcPr>
          <w:p>
            <w:pPr>
              <w:widowControl/>
              <w:snapToGrid w:val="0"/>
              <w:jc w:val="center"/>
              <w:rPr>
                <w:rFonts w:hint="eastAsia" w:ascii="宋体" w:eastAsia="宋体" w:hAnsiTheme="minorEastAsia" w:cstheme="minorEastAsia"/>
                <w:b/>
                <w:bCs/>
                <w:color w:val="000000" w:themeColor="text1"/>
                <w:kern w:val="0"/>
                <w:sz w:val="18"/>
                <w:szCs w:val="18"/>
                <w:highlight w:val="none"/>
                <w:lang w:val="en-US" w:eastAsia="zh-CN"/>
                <w14:textFill>
                  <w14:solidFill>
                    <w14:schemeClr w14:val="tx1"/>
                  </w14:solidFill>
                </w14:textFill>
              </w:rPr>
            </w:pPr>
            <w:r>
              <w:rPr>
                <w:rFonts w:hint="eastAsia" w:ascii="宋体" w:eastAsia="宋体" w:hAnsiTheme="minorEastAsia" w:cstheme="minorEastAsia"/>
                <w:b/>
                <w:bCs/>
                <w:color w:val="000000" w:themeColor="text1"/>
                <w:kern w:val="0"/>
                <w:sz w:val="18"/>
                <w:szCs w:val="18"/>
                <w:highlight w:val="none"/>
                <w:lang w:eastAsia="zh-CN"/>
                <w14:textFill>
                  <w14:solidFill>
                    <w14:schemeClr w14:val="tx1"/>
                  </w14:solidFill>
                </w14:textFill>
              </w:rPr>
              <w:t>国民经济行业分类代码及名称（2017）</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新闻和出版业</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新闻业</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包括新闻采访、编辑、发布和其他新闻服务（8610）。</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8610新闻业</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图书出版</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8621图书出版</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报纸出版</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8622报纸出版</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期刊出版</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8623期刊出版</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音像制品出版</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8624音像制品出版</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电子出版物出版</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8625电子出版物出版</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数字出版</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指利用数字技术进行内容编辑加工，并通过 网络传播数字内容产品的出版服务</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8626数字出版</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其他出版业</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8629其他出版业</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文化艺术业</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文艺创作与表演</w:t>
            </w:r>
          </w:p>
        </w:tc>
        <w:tc>
          <w:tcPr>
            <w:tcW w:w="43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指文学、美术创造和表演艺术（如戏曲、歌 舞、话剧、音乐、杂技、马戏、木偶等表演艺 术）等活动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8810文艺创作与表演</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艺术表演场馆</w:t>
            </w:r>
          </w:p>
        </w:tc>
        <w:tc>
          <w:tcPr>
            <w:tcW w:w="43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指有观众席、舞台、灯光设备，专供文艺团 体演出的场所管理活动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8820艺术表演场馆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360" w:firstLineChars="200"/>
              <w:jc w:val="left"/>
              <w:textAlignment w:val="center"/>
              <w:rPr>
                <w:rFonts w:hint="default"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图书馆</w:t>
            </w:r>
          </w:p>
        </w:tc>
        <w:tc>
          <w:tcPr>
            <w:tcW w:w="4360" w:type="dxa"/>
            <w:tcBorders>
              <w:tl2br w:val="nil"/>
              <w:tr2bl w:val="nil"/>
            </w:tcBorders>
            <w:shd w:val="clear" w:color="auto" w:fill="auto"/>
            <w:noWrap/>
            <w:vAlign w:val="center"/>
          </w:tcPr>
          <w:p>
            <w:pPr>
              <w:snapToGrid w:val="0"/>
              <w:jc w:val="left"/>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8831图书馆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360" w:firstLineChars="200"/>
              <w:jc w:val="left"/>
              <w:textAlignment w:val="center"/>
              <w:rPr>
                <w:rFonts w:hint="eastAsia" w:ascii="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档案馆</w:t>
            </w:r>
          </w:p>
        </w:tc>
        <w:tc>
          <w:tcPr>
            <w:tcW w:w="43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指将动漫和游戏中的图片、文字、视频、音频等信息内容运用数字化技术进行加工、处理、制作并整合应用的服务，使其通过互联网传播，在计算机、手机、电视等终端播放，在存储介质上保存。</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8832档案馆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群众文体活动</w:t>
            </w:r>
          </w:p>
        </w:tc>
        <w:tc>
          <w:tcPr>
            <w:tcW w:w="43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指对各种主要由城乡群众参与的文艺类演 出、比赛、展览、文艺知识鉴赏等公益性文化 活动的管理活动，以及群众参与的各级各类体 育竞赛和活动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8870群众文体活动</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其他文化艺术业</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8890其他文化艺术业</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文化艺术品制造</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雕塑工艺品制造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玉石、宝石、象牙、角、骨、贝壳等硬质材料，木、竹、椰壳、树根、软木等天然植物，以及石膏、泥、面、塑料等为原料，经雕刻、琢、磨、捏或塑等艺术加工而制成的各种供欣赏和实用的工艺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2431雕塑工艺品制造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金属工艺品制造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指以金、银、铜、铁、锡等各种金属为原料，经过制胎、浇铸、锻打、錾刻、搓丝、焊接、纺织、镶嵌、点兰、烧制、打磨、电镀等各种工艺加工制成的造型美观、花纹图案精致的工艺美术品的制作活动。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2432金属工艺品制造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漆器工艺品制造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指将半生漆、腰果漆加工调配成各种鲜艳的漆料，以木、纸、塑料、铜、布等作胎，采用推光、雕填、彩画、镶嵌、刻灰等传统工艺和现代漆器工艺进行的工艺制品的制作活动。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2433漆器工艺品制造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花画工艺品制造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绢、丝、绒、纸、涤纶、塑料、羽毛、通草以及鲜花草等为原料，经造型设计、模压、剪贴、干燥等工艺精制而成的花、果、叶等人造花类工艺品，以画面出现、可以挂或摆的具有欣赏性、装饰性的画类工艺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2434花画工艺品制造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天然植物纤维编织工艺品制造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指以竹、藤、棕、草、柳、葵、麻等天然植物纤维为材料，经编织或镶嵌而成具有造型艺术或图案花纹，以欣赏为主的工艺陈列品以及工艺实用品的制作活动。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2435天然植物纤维编织工艺品制造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抽纱刺绣工艺品制造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棉、麻、丝、毛及人造纤维纺织品等为主要原料，经设计、刺绣、抽、拉、钩等工艺加工各种生活装饰用品，以及以纺织品为主要原料，经特殊手工工艺或民间工艺方法加工成各种具有较强装饰效果的生活用纺织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2436抽纱刺绣工艺品制造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地毯、挂毯制造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指以羊毛、丝、棉、麻及人造纤维等为原料，经手工编织、机织、栽绒等方式加工而成的各种具有装饰性的地面覆盖物或可用于悬挂、垫坐等用途的生活装饰用品的制作活动。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2437地毯、挂毯制造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珠宝首饰及有关物品制造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指以金、银、铂等贵金属及其合金以及钻石、宝石、玉石、翡翠、珍珠等为原料，经金属加工和连结组合、镶嵌等工艺加工制作各种图案的装饰品的制作活动。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2438珠宝首饰及有关物品制造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其他工艺美术及礼仪用品制造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指其他工艺美术品的制造活动。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2439其他工艺美术及礼仪用品制造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陈设艺术陶瓷制造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指以粘土、瓷土、瓷石、长石、石英等为原料，经制胎、施釉、装饰、烧制等工艺制成，主要供欣赏、装饰的陶瓷工艺美术品制造。</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3075陈设艺术陶瓷制造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园艺陶瓷制造</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指专门为园林、公园、室外景观的摆设或具有一定功能的大型陶瓷制造。</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3076园艺陶瓷制造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文化投资运营</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文化投资与资产管理</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仅指政府主管部门转变职能后，成立的国有文化资产管理机构和文化行业管理机构的活动；文化投资活动，不包括资本市场的投资。该小类包含在投资与资产管理行业小类中。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7212*文化投资与资产管理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文化企业总部管理</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仅指文化企业总部的活动，其对外经营业务由下属的独立核算单位或单独核算单位承担，还包括派出机构的活动（如办事处等）。该小类包含在企业总部管理行业小类中。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7211*文化企业总部管理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文化产业园区管理</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仅指非政府部门的文化产业园区管理服务。该小类包含在园区管理服务行业小类中。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7221*文化产业园区管理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 xml:space="preserve">  文化经纪代理服务</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文化活动服务</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指策划、组织、实施各类文化、晚会、娱乐、演出、庆典、节日等活动的服务。</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9051文化活动服务</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文化娱乐经纪人</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指各种文化娱乐经纪人活动。包括演员挑选、推荐服务，艺术家、作家经纪人服务，演员经纪人服务，模特经纪人服务，其他演员、艺术家经纪人服务。</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9053文化娱乐经纪人</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其他文化艺术经纪代理</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指其他文化艺术经纪代理活动。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9059其他文化艺术经纪代理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婚庆典礼服务</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仅指婚庆礼仪服务。该小类包含在婚姻服务行业小类中。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8070*婚庆典礼服务</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文化贸易代理服务</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仅指文化贸易代理服务。该小类包含在贸易代理行业小类中。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5181*文化贸易代理服务</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票务代理服务</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指除旅客交通票务代理外的各种票务代理服务。</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7298票务代理服务</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 xml:space="preserve">  文化科研培训服务</w:t>
            </w:r>
          </w:p>
        </w:tc>
        <w:tc>
          <w:tcPr>
            <w:tcW w:w="4360" w:type="dxa"/>
            <w:tcBorders>
              <w:tl2br w:val="nil"/>
              <w:tr2bl w:val="nil"/>
            </w:tcBorders>
            <w:shd w:val="clear" w:color="auto" w:fill="auto"/>
            <w:vAlign w:val="center"/>
          </w:tcPr>
          <w:p>
            <w:pPr>
              <w:snapToGrid w:val="0"/>
              <w:jc w:val="left"/>
              <w:rPr>
                <w:rFonts w:hint="eastAsia" w:ascii="宋体" w:eastAsia="宋体" w:hAnsiTheme="minorEastAsia" w:cstheme="minorEastAsia"/>
                <w:b/>
                <w:bCs/>
                <w:i w:val="0"/>
                <w:iCs w:val="0"/>
                <w:color w:val="000000" w:themeColor="text1"/>
                <w:sz w:val="18"/>
                <w:szCs w:val="18"/>
                <w:highlight w:val="none"/>
                <w:u w:val="none"/>
                <w14:textFill>
                  <w14:solidFill>
                    <w14:schemeClr w14:val="tx1"/>
                  </w14:solidFill>
                </w14:textFill>
              </w:rPr>
            </w:pPr>
          </w:p>
        </w:tc>
        <w:tc>
          <w:tcPr>
            <w:tcW w:w="2160" w:type="dxa"/>
            <w:tcBorders>
              <w:tl2br w:val="nil"/>
              <w:tr2bl w:val="nil"/>
            </w:tcBorders>
            <w:shd w:val="clear" w:color="auto" w:fill="auto"/>
            <w:vAlign w:val="center"/>
          </w:tcPr>
          <w:p>
            <w:pPr>
              <w:snapToGrid w:val="0"/>
              <w:jc w:val="left"/>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社会人文科学研究</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指各种社会人文科学研究活动。</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7350社会人文科学研究</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学术理论社会（文化 ）团体</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仅指学术理论社会团体、文化团体的服务。该小类包含在专业性团体行业小类中。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9521*学术理论社会（文化 ）团体</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文化艺术培训</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指国家学校教育制度以外，由正规学校或社会各界办的文化艺术培训活动，不包括少年儿童的课外艺术辅导班。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8393文化艺术培训</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文化艺术辅导</w:t>
            </w:r>
          </w:p>
        </w:tc>
        <w:tc>
          <w:tcPr>
            <w:tcW w:w="4360"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仅包括美术、舞蹈、音乐、书法和武术等辅导服务。该小类包含在其他未列明教育行业小类中。</w:t>
            </w:r>
          </w:p>
        </w:tc>
        <w:tc>
          <w:tcPr>
            <w:tcW w:w="2160"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宋体" w:eastAsia="宋体" w:hAnsiTheme="minorEastAsia" w:cstheme="minorEastAsia"/>
                <w:i w:val="0"/>
                <w:iCs w:val="0"/>
                <w:color w:val="000000" w:themeColor="text1"/>
                <w:sz w:val="18"/>
                <w:szCs w:val="18"/>
                <w:highlight w:val="none"/>
                <w:u w:val="none"/>
                <w14:textFill>
                  <w14:solidFill>
                    <w14:schemeClr w14:val="tx1"/>
                  </w14:solidFill>
                </w14:textFill>
              </w:rPr>
            </w:pPr>
            <w:r>
              <w:rPr>
                <w:rFonts w:hint="eastAsia" w:ascii="宋体" w:eastAsia="宋体" w:hAnsi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8399*文化艺术辅导</w:t>
            </w:r>
          </w:p>
        </w:tc>
      </w:tr>
    </w:tbl>
    <w:p>
      <w:pPr>
        <w:rPr>
          <w:rFonts w:hint="eastAsia"/>
          <w:color w:val="000000" w:themeColor="text1"/>
          <w:highlight w:val="none"/>
          <w:u w:val="single"/>
          <w:lang w:val="en-US" w:eastAsia="zh-CN"/>
          <w14:textFill>
            <w14:solidFill>
              <w14:schemeClr w14:val="tx1"/>
            </w14:solidFill>
          </w14:textFill>
        </w:rPr>
      </w:pPr>
      <w:r>
        <w:rPr>
          <w:rFonts w:hint="eastAsia" w:ascii="仿宋_GB2312" w:hAnsi="宋体" w:eastAsia="仿宋_GB2312" w:cs="宋体"/>
          <w:color w:val="000000" w:themeColor="text1"/>
          <w:spacing w:val="-4"/>
          <w:kern w:val="0"/>
          <w:szCs w:val="21"/>
          <w:highlight w:val="none"/>
          <w:u w:val="single"/>
          <w14:textFill>
            <w14:solidFill>
              <w14:schemeClr w14:val="tx1"/>
            </w14:solidFill>
          </w14:textFill>
        </w:rPr>
        <w:t>注：符号“*”表示该行业类别仅有部分内容属于</w:t>
      </w:r>
      <w:r>
        <w:rPr>
          <w:rFonts w:hint="eastAsia" w:ascii="仿宋_GB2312" w:hAnsi="宋体" w:eastAsia="仿宋_GB2312" w:cs="宋体"/>
          <w:color w:val="000000" w:themeColor="text1"/>
          <w:spacing w:val="-4"/>
          <w:kern w:val="0"/>
          <w:szCs w:val="21"/>
          <w:highlight w:val="none"/>
          <w:u w:val="single"/>
          <w:lang w:val="en-US" w:eastAsia="zh-CN"/>
          <w14:textFill>
            <w14:solidFill>
              <w14:schemeClr w14:val="tx1"/>
            </w14:solidFill>
          </w14:textFill>
        </w:rPr>
        <w:t>文化</w:t>
      </w:r>
      <w:r>
        <w:rPr>
          <w:rFonts w:hint="eastAsia" w:ascii="仿宋_GB2312" w:hAnsi="宋体" w:eastAsia="仿宋_GB2312" w:cs="宋体"/>
          <w:color w:val="000000" w:themeColor="text1"/>
          <w:spacing w:val="-4"/>
          <w:kern w:val="0"/>
          <w:szCs w:val="21"/>
          <w:highlight w:val="none"/>
          <w:u w:val="single"/>
          <w14:textFill>
            <w14:solidFill>
              <w14:schemeClr w14:val="tx1"/>
            </w14:solidFill>
          </w14:textFill>
        </w:rPr>
        <w:t>及相关产业。</w:t>
      </w:r>
    </w:p>
    <w:p>
      <w:pPr>
        <w:numPr>
          <w:ilvl w:val="0"/>
          <w:numId w:val="0"/>
        </w:numPr>
        <w:bidi w:val="0"/>
        <w:jc w:val="center"/>
        <w:outlineLvl w:val="1"/>
        <w:rPr>
          <w:rFonts w:hint="default" w:ascii="Times New Roman" w:hAnsi="Times New Roman" w:eastAsia="宋体" w:cs="Times New Roman"/>
          <w:b/>
          <w:bCs/>
          <w:color w:val="000000" w:themeColor="text1"/>
          <w:sz w:val="32"/>
          <w:szCs w:val="28"/>
          <w:highlight w:val="none"/>
          <w:lang w:val="en-US" w:eastAsia="zh-CN"/>
          <w14:textFill>
            <w14:solidFill>
              <w14:schemeClr w14:val="tx1"/>
            </w14:solidFill>
          </w14:textFill>
        </w:rPr>
      </w:pPr>
      <w:bookmarkStart w:id="55" w:name="_Toc24206"/>
      <w:r>
        <w:rPr>
          <w:rFonts w:hint="eastAsia" w:ascii="Times New Roman" w:hAnsi="Times New Roman" w:eastAsia="宋体" w:cs="Times New Roman"/>
          <w:b/>
          <w:bCs/>
          <w:color w:val="000000" w:themeColor="text1"/>
          <w:sz w:val="32"/>
          <w:szCs w:val="28"/>
          <w:highlight w:val="none"/>
          <w:lang w:val="en-US" w:eastAsia="zh-CN"/>
          <w14:textFill>
            <w14:solidFill>
              <w14:schemeClr w14:val="tx1"/>
            </w14:solidFill>
          </w14:textFill>
        </w:rPr>
        <w:t>（四）广电行业统计分类表</w:t>
      </w:r>
      <w:bookmarkEnd w:id="55"/>
    </w:p>
    <w:tbl>
      <w:tblPr>
        <w:tblStyle w:val="16"/>
        <w:tblW w:w="8618" w:type="dxa"/>
        <w:jc w:val="center"/>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Layout w:type="autofit"/>
        <w:tblCellMar>
          <w:top w:w="32" w:type="dxa"/>
          <w:left w:w="64" w:type="dxa"/>
          <w:bottom w:w="32" w:type="dxa"/>
          <w:right w:w="64" w:type="dxa"/>
        </w:tblCellMar>
      </w:tblPr>
      <w:tblGrid>
        <w:gridCol w:w="2098"/>
        <w:gridCol w:w="4252"/>
        <w:gridCol w:w="2268"/>
      </w:tblGrid>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32" w:type="dxa"/>
            <w:left w:w="64" w:type="dxa"/>
            <w:bottom w:w="32" w:type="dxa"/>
            <w:right w:w="64" w:type="dxa"/>
          </w:tblCellMar>
        </w:tblPrEx>
        <w:trPr>
          <w:trHeight w:val="0" w:hRule="atLeast"/>
          <w:tblHeader/>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i w:val="0"/>
                <w:iCs w:val="0"/>
                <w:color w:val="000000" w:themeColor="text1"/>
                <w:kern w:val="0"/>
                <w:sz w:val="18"/>
                <w:szCs w:val="18"/>
                <w:highlight w:val="none"/>
                <w:u w:val="none"/>
                <w:lang w:val="en-US" w:eastAsia="zh-CN" w:bidi="ar"/>
                <w14:textFill>
                  <w14:solidFill>
                    <w14:schemeClr w14:val="tx1"/>
                  </w14:solidFill>
                </w14:textFill>
              </w:rPr>
              <w:t>类别名称</w:t>
            </w:r>
          </w:p>
        </w:tc>
        <w:tc>
          <w:tcPr>
            <w:tcW w:w="4252" w:type="dxa"/>
            <w:tcBorders>
              <w:tl2br w:val="nil"/>
              <w:tr2bl w:val="nil"/>
            </w:tcBorders>
            <w:shd w:val="clear" w:color="auto" w:fill="auto"/>
            <w:vAlign w:val="center"/>
          </w:tcPr>
          <w:p>
            <w:pPr>
              <w:keepNext w:val="0"/>
              <w:keepLines w:val="0"/>
              <w:widowControl/>
              <w:suppressLineNumbers w:val="0"/>
              <w:snapToGrid w:val="0"/>
              <w:jc w:val="center"/>
              <w:textAlignment w:val="center"/>
              <w:rPr>
                <w:rFonts w:hint="eastAsia" w:asciiTheme="minorEastAsia" w:hAnsiTheme="minorEastAsia" w:eastAsiaTheme="minorEastAsia" w:cstheme="minorEastAsia"/>
                <w:b/>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i w:val="0"/>
                <w:iCs w:val="0"/>
                <w:color w:val="000000" w:themeColor="text1"/>
                <w:kern w:val="0"/>
                <w:sz w:val="18"/>
                <w:szCs w:val="18"/>
                <w:highlight w:val="none"/>
                <w:u w:val="none"/>
                <w:lang w:val="en-US" w:eastAsia="zh-CN" w:bidi="ar"/>
                <w14:textFill>
                  <w14:solidFill>
                    <w14:schemeClr w14:val="tx1"/>
                  </w14:solidFill>
                </w14:textFill>
              </w:rPr>
              <w:t>说　明</w:t>
            </w:r>
          </w:p>
        </w:tc>
        <w:tc>
          <w:tcPr>
            <w:tcW w:w="2268" w:type="dxa"/>
            <w:tcBorders>
              <w:tl2br w:val="nil"/>
              <w:tr2bl w:val="nil"/>
            </w:tcBorders>
            <w:shd w:val="clear" w:color="auto" w:fill="auto"/>
            <w:vAlign w:val="center"/>
          </w:tcPr>
          <w:p>
            <w:pPr>
              <w:keepNext w:val="0"/>
              <w:keepLines w:val="0"/>
              <w:widowControl/>
              <w:suppressLineNumbers w:val="0"/>
              <w:snapToGrid w:val="0"/>
              <w:jc w:val="center"/>
              <w:textAlignment w:val="center"/>
              <w:rPr>
                <w:rFonts w:hint="eastAsia" w:asciiTheme="minorEastAsia" w:hAnsiTheme="minorEastAsia" w:eastAsiaTheme="minorEastAsia" w:cstheme="minorEastAsia"/>
                <w:b/>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i w:val="0"/>
                <w:iCs w:val="0"/>
                <w:color w:val="000000" w:themeColor="text1"/>
                <w:kern w:val="0"/>
                <w:sz w:val="18"/>
                <w:szCs w:val="18"/>
                <w:highlight w:val="none"/>
                <w:u w:val="none"/>
                <w:lang w:val="en-US" w:eastAsia="zh-CN" w:bidi="ar"/>
                <w14:textFill>
                  <w14:solidFill>
                    <w14:schemeClr w14:val="tx1"/>
                  </w14:solidFill>
                </w14:textFill>
              </w:rPr>
              <w:t>行业分类</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广播电视信息服务</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广播</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指广播节目的现场制作、播放及其他相关活动，还包括互联网广播。</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8710广播</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电视</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指有线和无线电视节目的现场制作、播放及其他相关活动，还包括互联网电视。</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8720电视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影视节目制作</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影视节目制作 指电影、电视、录像（含以磁带、光盘为载体）和网络节目的制作活动，该节目可以作为电视、电影播出、放映，也可以作为出版、销售的原版录像带（或光盘），还可以在其他场合宣传播放，还包括影视节目的后期制作，但不包括电视台制作节目的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8730影视节目制作</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广播电视集成播控</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指IP电视、手机电视、互联网电视等专网及定向传播视听节目服务的集成播控，还包括普通广播电视节目集成播控。</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8740广播电视集成播控</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广播影视节目制作</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影视节目制作</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电影、电视和录像（含以磁带、光盘为载体）节目的制作活动，该节目可以作为电视、电影播出、放映，也可以作为出版、销售的原版录像带（或光盘），还可以在其他场合宣传播放，还包括影视节目的后期制作，但不包括电视台制作节目的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8730影视节目制作</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录音制作</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指从事录音节目、音乐作品的制作活动，其节目或作品可以在广播电台播放，也可以制作成出版、销售的原版录音带（磁带或光盘），还可以在其他宣传场合播放，但不包括广播电台制作节目的活动。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8770录音制作</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广播电视节目传输</w:t>
            </w:r>
          </w:p>
        </w:tc>
        <w:tc>
          <w:tcPr>
            <w:tcW w:w="4252" w:type="dxa"/>
            <w:tcBorders>
              <w:tl2br w:val="nil"/>
              <w:tr2bl w:val="nil"/>
            </w:tcBorders>
            <w:shd w:val="clear" w:color="auto" w:fill="auto"/>
            <w:vAlign w:val="center"/>
          </w:tcPr>
          <w:p>
            <w:pPr>
              <w:snapToGrid w:val="0"/>
              <w:jc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有线广播电视传输服务</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指有线广播电视网和信号的传输服务。</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6321有线广播电视传输服务</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无线广播电视传输服务</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指无线广播电视信号的传输服务。</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6322无线广播电视传输服务</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广播电视卫星传输服务</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包括卫星广播电视信号的传输、覆盖与接收服务，卫星广播电视传输、覆盖、接收系统的设计、安装、调试、测试、监测等服务。</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6331广播电视卫星传输服务</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广播影视发行放映</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电影和广播电视节目发行</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包括电影发行和进出口交易、非电视台制作的电视节目发行和进出口服务。</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8750电影和广播电视节目发行</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电影放映</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指专业电影院以及设在娱乐场所独立（或相对独立）的电影放映等活动。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8760电影放映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广播电视电影设备制造及销售</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广播电视节目制作及发射设备制造</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指广播电视节目制作、发射设备及器材的制造。</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3931广播电视节目制作及发射设备制造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广播电视接收设备制造</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指专业广播电视接收设备的制造，但不包括家用广播电视接收设备的制造。</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3932广播电视接收设备制造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广播电视专用配件制造</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指专业用录像重放及其他配套的广播电视设备的制造，但不包括家用广播电视装置的制造。</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3933广播电视专用配件制造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专业音响设备制造</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指广播电视、影剧院、录音棚、会议、各种场地等专业用录音、音响设备及其他配套设备的制造。</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3934专业音响设备制造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应用电视设备及其他广播电视设备制造</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指应用电视设备、其他广播电视设备和器材的制造。</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3939应用电视设备及其他广播电视设备制造</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广播影视设备批发</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指广播影视设备的批发和进出口活动。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5178广播影视设备批发</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32" w:type="dxa"/>
            <w:left w:w="64" w:type="dxa"/>
            <w:bottom w:w="32" w:type="dxa"/>
            <w:right w:w="64" w:type="dxa"/>
          </w:tblCellMar>
        </w:tblPrEx>
        <w:trPr>
          <w:trHeight w:val="0" w:hRule="atLeast"/>
          <w:jc w:val="center"/>
        </w:trPr>
        <w:tc>
          <w:tcPr>
            <w:tcW w:w="209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ind w:firstLine="360" w:firstLineChars="200"/>
              <w:jc w:val="left"/>
              <w:textAlignment w:val="cente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电影机械制造</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指各种类型或用途的电影摄影机、电影录音摄影机、影像放映机及电影辅助器材和配件的制造。</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3471电影机械制造</w:t>
            </w:r>
          </w:p>
        </w:tc>
      </w:tr>
    </w:tbl>
    <w:p>
      <w:pPr>
        <w:rPr>
          <w:color w:val="000000" w:themeColor="text1"/>
          <w:highlight w:val="none"/>
          <w14:textFill>
            <w14:solidFill>
              <w14:schemeClr w14:val="tx1"/>
            </w14:solidFill>
          </w14:textFill>
        </w:rPr>
      </w:pPr>
    </w:p>
    <w:p>
      <w:pPr>
        <w:rPr>
          <w:rFonts w:hint="eastAsia"/>
          <w:color w:val="000000" w:themeColor="text1"/>
          <w:highlight w:val="none"/>
          <w:u w:val="singl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pPr>
        <w:numPr>
          <w:ilvl w:val="0"/>
          <w:numId w:val="0"/>
        </w:numPr>
        <w:bidi w:val="0"/>
        <w:jc w:val="center"/>
        <w:outlineLvl w:val="1"/>
        <w:rPr>
          <w:rFonts w:hint="default" w:ascii="Times New Roman" w:hAnsi="Times New Roman" w:eastAsia="宋体" w:cs="Times New Roman"/>
          <w:b/>
          <w:bCs/>
          <w:color w:val="000000" w:themeColor="text1"/>
          <w:sz w:val="32"/>
          <w:szCs w:val="28"/>
          <w:highlight w:val="none"/>
          <w:lang w:val="en-US" w:eastAsia="zh-CN"/>
          <w14:textFill>
            <w14:solidFill>
              <w14:schemeClr w14:val="tx1"/>
            </w14:solidFill>
          </w14:textFill>
        </w:rPr>
      </w:pPr>
      <w:bookmarkStart w:id="56" w:name="_Toc32600"/>
      <w:r>
        <w:rPr>
          <w:rFonts w:hint="eastAsia" w:ascii="Times New Roman" w:hAnsi="Times New Roman" w:cs="Times New Roman"/>
          <w:b/>
          <w:bCs/>
          <w:color w:val="000000" w:themeColor="text1"/>
          <w:sz w:val="32"/>
          <w:szCs w:val="28"/>
          <w:highlight w:val="none"/>
          <w:lang w:val="en-US" w:eastAsia="zh-CN"/>
          <w14:textFill>
            <w14:solidFill>
              <w14:schemeClr w14:val="tx1"/>
            </w14:solidFill>
          </w14:textFill>
        </w:rPr>
        <w:t>（五）</w:t>
      </w:r>
      <w:r>
        <w:rPr>
          <w:rFonts w:hint="eastAsia" w:ascii="Times New Roman" w:hAnsi="Times New Roman" w:eastAsia="宋体" w:cs="Times New Roman"/>
          <w:b/>
          <w:bCs/>
          <w:color w:val="000000" w:themeColor="text1"/>
          <w:sz w:val="32"/>
          <w:szCs w:val="28"/>
          <w:highlight w:val="none"/>
          <w:lang w:val="en-US" w:eastAsia="zh-CN"/>
          <w14:textFill>
            <w14:solidFill>
              <w14:schemeClr w14:val="tx1"/>
            </w14:solidFill>
          </w14:textFill>
        </w:rPr>
        <w:t>文物行业统计分类表</w:t>
      </w:r>
      <w:bookmarkEnd w:id="56"/>
    </w:p>
    <w:tbl>
      <w:tblPr>
        <w:tblStyle w:val="16"/>
        <w:tblW w:w="8618" w:type="dxa"/>
        <w:jc w:val="center"/>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Layout w:type="autofit"/>
        <w:tblCellMar>
          <w:top w:w="45" w:type="dxa"/>
          <w:left w:w="96" w:type="dxa"/>
          <w:bottom w:w="45" w:type="dxa"/>
          <w:right w:w="96" w:type="dxa"/>
        </w:tblCellMar>
      </w:tblPr>
      <w:tblGrid>
        <w:gridCol w:w="2098"/>
        <w:gridCol w:w="4252"/>
        <w:gridCol w:w="2268"/>
      </w:tblGrid>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tblHeader/>
          <w:jc w:val="center"/>
        </w:trPr>
        <w:tc>
          <w:tcPr>
            <w:tcW w:w="2098" w:type="dxa"/>
            <w:tcBorders>
              <w:tl2br w:val="nil"/>
              <w:tr2bl w:val="nil"/>
            </w:tcBorders>
            <w:shd w:val="clear" w:color="auto" w:fill="auto"/>
            <w:vAlign w:val="center"/>
          </w:tcPr>
          <w:p>
            <w:pPr>
              <w:widowControl/>
              <w:jc w:val="center"/>
              <w:rPr>
                <w:rFonts w:hint="eastAsia" w:asciiTheme="minorEastAsia" w:hAnsiTheme="minorEastAsia" w:eastAsiaTheme="minorEastAsia" w:cstheme="minorEastAsia"/>
                <w:b/>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18"/>
                <w:szCs w:val="18"/>
                <w:highlight w:val="none"/>
                <w14:textFill>
                  <w14:solidFill>
                    <w14:schemeClr w14:val="tx1"/>
                  </w14:solidFill>
                </w14:textFill>
              </w:rPr>
              <w:t>类别名称</w:t>
            </w:r>
          </w:p>
        </w:tc>
        <w:tc>
          <w:tcPr>
            <w:tcW w:w="4252" w:type="dxa"/>
            <w:tcBorders>
              <w:tl2br w:val="nil"/>
              <w:tr2bl w:val="nil"/>
            </w:tcBorders>
            <w:shd w:val="clear" w:color="auto" w:fill="auto"/>
            <w:vAlign w:val="center"/>
          </w:tcPr>
          <w:p>
            <w:pPr>
              <w:widowControl/>
              <w:jc w:val="center"/>
              <w:rPr>
                <w:rFonts w:hint="eastAsia" w:asciiTheme="minorEastAsia" w:hAnsiTheme="minorEastAsia" w:eastAsiaTheme="minorEastAsia" w:cstheme="minorEastAsia"/>
                <w:b/>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18"/>
                <w:szCs w:val="18"/>
                <w:highlight w:val="none"/>
                <w14:textFill>
                  <w14:solidFill>
                    <w14:schemeClr w14:val="tx1"/>
                  </w14:solidFill>
                </w14:textFill>
              </w:rPr>
              <w:t>说  明</w:t>
            </w:r>
          </w:p>
        </w:tc>
        <w:tc>
          <w:tcPr>
            <w:tcW w:w="2268" w:type="dxa"/>
            <w:tcBorders>
              <w:tl2br w:val="nil"/>
              <w:tr2bl w:val="nil"/>
            </w:tcBorders>
            <w:shd w:val="clear" w:color="auto" w:fill="auto"/>
            <w:vAlign w:val="center"/>
          </w:tcPr>
          <w:p>
            <w:pPr>
              <w:widowControl/>
              <w:jc w:val="center"/>
              <w:rPr>
                <w:rFonts w:hint="eastAsia" w:asciiTheme="minorEastAsia" w:hAnsiTheme="minorEastAsia" w:eastAsiaTheme="minorEastAsia" w:cstheme="minorEastAsia"/>
                <w:b/>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18"/>
                <w:szCs w:val="18"/>
                <w:highlight w:val="none"/>
                <w14:textFill>
                  <w14:solidFill>
                    <w14:schemeClr w14:val="tx1"/>
                  </w14:solidFill>
                </w14:textFill>
              </w:rPr>
              <w:t>国民经济行业分类代码及名称（2017）</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文化传承与保护</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文物及非物质文化遗产保护</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指对具有历史、文化、艺术、体育、科学价值，并经有关部门鉴定，列入文物保护范围的 不可移动文物的保护和管理活动；对我国口头 传统和表现形式，传统表演艺术，社会实践、 意识、节庆活动，有关的自然界和宇宙的知识 和实践，传统手工艺等非物质文化遗产的保护 和管理活动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8840文物及非物质文化遗产保护</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博物馆、纪念馆等文化场馆运营</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博物馆</w:t>
            </w:r>
          </w:p>
        </w:tc>
        <w:tc>
          <w:tcPr>
            <w:tcW w:w="4252"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指收藏、研究、展示文物和标本的博物馆的  活动，以及展示人类文化、艺术、体育、科技、 文明的美术馆、艺术馆、展览馆、科技馆、天  文馆等管理活动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8850博物馆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烈士陵园、纪念馆</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8860烈士陵园、纪念馆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highlight w:val="none"/>
                <w:u w:val="none"/>
                <w:lang w:val="en-US" w:eastAsia="zh-CN" w:bidi="ar"/>
                <w14:textFill>
                  <w14:solidFill>
                    <w14:schemeClr w14:val="tx1"/>
                  </w14:solidFill>
                </w14:textFill>
              </w:rPr>
              <w:t>文物艺术品交易</w:t>
            </w:r>
          </w:p>
        </w:tc>
        <w:tc>
          <w:tcPr>
            <w:tcW w:w="4252"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b/>
                <w:bCs/>
                <w:i w:val="0"/>
                <w:iCs w:val="0"/>
                <w:color w:val="000000" w:themeColor="text1"/>
                <w:sz w:val="18"/>
                <w:szCs w:val="18"/>
                <w:highlight w:val="none"/>
                <w:u w:val="none"/>
                <w14:textFill>
                  <w14:solidFill>
                    <w14:schemeClr w14:val="tx1"/>
                  </w14:solidFill>
                </w14:textFill>
              </w:rPr>
            </w:pPr>
          </w:p>
        </w:tc>
        <w:tc>
          <w:tcPr>
            <w:tcW w:w="2268" w:type="dxa"/>
            <w:tcBorders>
              <w:tl2br w:val="nil"/>
              <w:tr2bl w:val="nil"/>
            </w:tcBorders>
            <w:shd w:val="clear" w:color="auto" w:fill="auto"/>
            <w:vAlign w:val="center"/>
          </w:tcPr>
          <w:p>
            <w:pPr>
              <w:snapToGrid w:val="0"/>
              <w:jc w:val="left"/>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艺术品、收藏品拍卖</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指艺术品、收藏品拍卖活动。包括艺（美）术品拍卖服务、文物拍卖服务、古董和字画拍卖服务。</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5183艺术品、收藏品拍卖</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艺术品代理</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指艺术品代理活动。包括字画代理、古玩收藏品代理、画廊艺术经纪代理和其他艺术品代理。</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5184艺术品代理</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首饰、工艺品及收藏品批发</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指首饰、工艺品及收藏品的批发活动。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5146首饰、工艺品及收藏品批发</w:t>
            </w:r>
          </w:p>
        </w:tc>
      </w:tr>
      <w:tr>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shd w:val="clear" w:color="auto" w:fill="auto"/>
          <w:tblCellMar>
            <w:top w:w="45" w:type="dxa"/>
            <w:left w:w="96" w:type="dxa"/>
            <w:bottom w:w="45" w:type="dxa"/>
            <w:right w:w="96" w:type="dxa"/>
          </w:tblCellMar>
        </w:tblPrEx>
        <w:trPr>
          <w:trHeight w:val="0" w:hRule="atLeast"/>
          <w:jc w:val="center"/>
        </w:trPr>
        <w:tc>
          <w:tcPr>
            <w:tcW w:w="2098" w:type="dxa"/>
            <w:tcBorders>
              <w:tl2br w:val="nil"/>
              <w:tr2bl w:val="nil"/>
            </w:tcBorders>
            <w:shd w:val="clear" w:color="auto" w:fill="auto"/>
            <w:vAlign w:val="center"/>
          </w:tcPr>
          <w:p>
            <w:pPr>
              <w:keepNext w:val="0"/>
              <w:keepLines w:val="0"/>
              <w:widowControl/>
              <w:suppressLineNumbers w:val="0"/>
              <w:snapToGrid w:val="0"/>
              <w:ind w:firstLineChars="20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珠宝首饰零售</w:t>
            </w:r>
          </w:p>
        </w:tc>
        <w:tc>
          <w:tcPr>
            <w:tcW w:w="4252" w:type="dxa"/>
            <w:tcBorders>
              <w:tl2br w:val="nil"/>
              <w:tr2bl w:val="nil"/>
            </w:tcBorders>
            <w:shd w:val="clear" w:color="auto" w:fill="auto"/>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指珠宝首饰的零售活动。</w:t>
            </w:r>
          </w:p>
        </w:tc>
        <w:tc>
          <w:tcPr>
            <w:tcW w:w="2268" w:type="dxa"/>
            <w:tcBorders>
              <w:tl2br w:val="nil"/>
              <w:tr2bl w:val="nil"/>
            </w:tcBorders>
            <w:shd w:val="clear" w:color="auto" w:fill="auto"/>
            <w:noWrap/>
            <w:vAlign w:val="center"/>
          </w:tcPr>
          <w:p>
            <w:pPr>
              <w:keepNext w:val="0"/>
              <w:keepLines w:val="0"/>
              <w:widowControl/>
              <w:suppressLineNumbers w:val="0"/>
              <w:snapToGrid w:val="0"/>
              <w:jc w:val="left"/>
              <w:textAlignment w:val="center"/>
              <w:rPr>
                <w:rFonts w:hint="eastAsia" w:asciiTheme="minorEastAsia" w:hAnsiTheme="minorEastAsia" w:eastAsiaTheme="minorEastAsia" w:cstheme="minorEastAsia"/>
                <w:i w:val="0"/>
                <w:iCs w:val="0"/>
                <w:color w:val="000000" w:themeColor="text1"/>
                <w:sz w:val="18"/>
                <w:szCs w:val="18"/>
                <w:highlight w:val="none"/>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highlight w:val="none"/>
                <w:u w:val="none"/>
                <w:lang w:val="en-US" w:eastAsia="zh-CN" w:bidi="ar"/>
                <w14:textFill>
                  <w14:solidFill>
                    <w14:schemeClr w14:val="tx1"/>
                  </w14:solidFill>
                </w14:textFill>
              </w:rPr>
              <w:t>5245珠宝首饰零售</w:t>
            </w:r>
          </w:p>
        </w:tc>
      </w:tr>
    </w:tbl>
    <w:p>
      <w:pPr>
        <w:rPr>
          <w:color w:val="000000" w:themeColor="text1"/>
          <w:highlight w:val="none"/>
          <w14:textFill>
            <w14:solidFill>
              <w14:schemeClr w14:val="tx1"/>
            </w14:solidFill>
          </w14:textFill>
        </w:rPr>
      </w:pPr>
    </w:p>
    <w:p>
      <w:pPr>
        <w:rPr>
          <w:rFonts w:hint="eastAsia"/>
          <w:color w:val="000000" w:themeColor="text1"/>
          <w:highlight w:val="none"/>
          <w:u w:val="single"/>
          <w:lang w:val="en-US" w:eastAsia="zh-CN"/>
          <w14:textFill>
            <w14:solidFill>
              <w14:schemeClr w14:val="tx1"/>
            </w14:solidFill>
          </w14:textFill>
        </w:rPr>
      </w:pPr>
    </w:p>
    <w:p>
      <w:pPr>
        <w:rPr>
          <w:rFonts w:hint="eastAsia"/>
          <w:color w:val="000000" w:themeColor="text1"/>
          <w:highlight w:val="none"/>
          <w:u w:val="single"/>
          <w:lang w:val="en-US" w:eastAsia="zh-CN"/>
          <w14:textFill>
            <w14:solidFill>
              <w14:schemeClr w14:val="tx1"/>
            </w14:solidFill>
          </w14:textFill>
        </w:rPr>
      </w:pPr>
    </w:p>
    <w:p>
      <w:pPr>
        <w:rPr>
          <w:rFonts w:hint="eastAsia"/>
          <w:color w:val="000000" w:themeColor="text1"/>
          <w:highlight w:val="none"/>
          <w:u w:val="single"/>
          <w:lang w:val="en-US" w:eastAsia="zh-CN"/>
          <w14:textFill>
            <w14:solidFill>
              <w14:schemeClr w14:val="tx1"/>
            </w14:solidFill>
          </w14:textFill>
        </w:rPr>
      </w:pPr>
    </w:p>
    <w:p>
      <w:pPr>
        <w:rPr>
          <w:rFonts w:hint="eastAsia"/>
          <w:color w:val="000000" w:themeColor="text1"/>
          <w:highlight w:val="none"/>
          <w:u w:val="single"/>
          <w:lang w:val="en-US" w:eastAsia="zh-CN"/>
          <w14:textFill>
            <w14:solidFill>
              <w14:schemeClr w14:val="tx1"/>
            </w14:solidFill>
          </w14:textFill>
        </w:rPr>
      </w:pPr>
    </w:p>
    <w:p>
      <w:pPr>
        <w:numPr>
          <w:ilvl w:val="0"/>
          <w:numId w:val="0"/>
        </w:numPr>
        <w:bidi w:val="0"/>
        <w:jc w:val="center"/>
        <w:outlineLvl w:val="1"/>
        <w:rPr>
          <w:rFonts w:hint="eastAsia" w:ascii="方正小标宋_GBK" w:hAnsi="宋体" w:eastAsia="方正小标宋_GBK" w:cs="宋体"/>
          <w:color w:val="000000" w:themeColor="text1"/>
          <w:kern w:val="0"/>
          <w:sz w:val="36"/>
          <w:szCs w:val="32"/>
          <w14:textFill>
            <w14:solidFill>
              <w14:schemeClr w14:val="tx1"/>
            </w14:solidFill>
          </w14:textFill>
        </w:rPr>
      </w:pPr>
      <w:bookmarkStart w:id="57" w:name="_Toc12379"/>
      <w:r>
        <w:rPr>
          <w:rFonts w:hint="eastAsia" w:ascii="Times New Roman" w:hAnsi="Times New Roman" w:cs="Times New Roman"/>
          <w:b/>
          <w:bCs/>
          <w:color w:val="000000" w:themeColor="text1"/>
          <w:sz w:val="32"/>
          <w:szCs w:val="28"/>
          <w:highlight w:val="none"/>
          <w:lang w:val="en-US" w:eastAsia="zh-CN"/>
          <w14:textFill>
            <w14:solidFill>
              <w14:schemeClr w14:val="tx1"/>
            </w14:solidFill>
          </w14:textFill>
        </w:rPr>
        <w:t>（六）统计上大中小微型企业划分标准</w:t>
      </w:r>
      <w:bookmarkEnd w:id="57"/>
    </w:p>
    <w:tbl>
      <w:tblPr>
        <w:tblStyle w:val="16"/>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b/>
                <w:bCs/>
                <w:color w:val="000000" w:themeColor="text1"/>
                <w:kern w:val="0"/>
                <w:sz w:val="18"/>
                <w:szCs w:val="21"/>
                <w14:textFill>
                  <w14:solidFill>
                    <w14:schemeClr w14:val="tx1"/>
                  </w14:solidFill>
                </w14:textFill>
              </w:rPr>
            </w:pPr>
            <w:r>
              <w:rPr>
                <w:rFonts w:hint="eastAsia" w:ascii="宋体" w:hAnsi="宋体" w:cs="宋体"/>
                <w:b/>
                <w:bCs/>
                <w:color w:val="000000" w:themeColor="text1"/>
                <w:kern w:val="0"/>
                <w:sz w:val="18"/>
                <w:szCs w:val="21"/>
                <w14:textFill>
                  <w14:solidFill>
                    <w14:schemeClr w14:val="tx1"/>
                  </w14:solidFill>
                </w14:textFill>
              </w:rPr>
              <w:t>行业名称</w:t>
            </w:r>
          </w:p>
        </w:tc>
        <w:tc>
          <w:tcPr>
            <w:tcW w:w="13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指标名称</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计量</w:t>
            </w:r>
            <w:r>
              <w:rPr>
                <w:rFonts w:hint="eastAsia" w:ascii="宋体" w:hAnsi="宋体" w:cs="宋体"/>
                <w:b/>
                <w:bCs/>
                <w:color w:val="000000" w:themeColor="text1"/>
                <w:kern w:val="0"/>
                <w:sz w:val="18"/>
                <w:szCs w:val="18"/>
                <w14:textFill>
                  <w14:solidFill>
                    <w14:schemeClr w14:val="tx1"/>
                  </w14:solidFill>
                </w14:textFill>
              </w:rPr>
              <w:br w:type="textWrapping"/>
            </w:r>
            <w:r>
              <w:rPr>
                <w:rFonts w:hint="eastAsia" w:ascii="宋体" w:hAnsi="宋体" w:cs="宋体"/>
                <w:b/>
                <w:bCs/>
                <w:color w:val="000000" w:themeColor="text1"/>
                <w:kern w:val="0"/>
                <w:sz w:val="18"/>
                <w:szCs w:val="18"/>
                <w14:textFill>
                  <w14:solidFill>
                    <w14:schemeClr w14:val="tx1"/>
                  </w14:solidFill>
                </w14:textFill>
              </w:rPr>
              <w:t>单位</w:t>
            </w:r>
          </w:p>
        </w:tc>
        <w:tc>
          <w:tcPr>
            <w:tcW w:w="11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大型</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中型</w:t>
            </w:r>
          </w:p>
        </w:tc>
        <w:tc>
          <w:tcPr>
            <w:tcW w:w="14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小型</w:t>
            </w:r>
          </w:p>
        </w:tc>
        <w:tc>
          <w:tcPr>
            <w:tcW w:w="992" w:type="dxa"/>
            <w:tcBorders>
              <w:top w:val="single" w:color="auto" w:sz="4" w:space="0"/>
              <w:left w:val="nil"/>
              <w:bottom w:val="single" w:color="auto" w:sz="4" w:space="0"/>
              <w:right w:val="nil"/>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微型</w:t>
            </w:r>
          </w:p>
        </w:tc>
      </w:tr>
      <w:tr>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农、林、牧、渔业</w:t>
            </w:r>
          </w:p>
        </w:tc>
        <w:tc>
          <w:tcPr>
            <w:tcW w:w="13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Y≥20000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500≤Y＜20000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50≤Y＜500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Y＜50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工业 *</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300≤X＜1000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20≤X＜300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X＜20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Y≥40000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2000≤Y＜40000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300≤Y＜2000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Y＜300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建筑业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Y≥80000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6000≤Y＜80000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300≤Y＜6000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Y＜300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资产总额(Z)</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Z≥80000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5000≤Z＜80000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300≤Z＜5000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Z＜300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批发业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X≥200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20≤X＜200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5≤X＜20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X＜5</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Y≥40000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5000≤Y＜40000</w:t>
            </w:r>
          </w:p>
        </w:tc>
        <w:tc>
          <w:tcPr>
            <w:tcW w:w="1426" w:type="dxa"/>
            <w:tcBorders>
              <w:top w:val="nil"/>
              <w:left w:val="nil"/>
              <w:bottom w:val="single" w:color="auto" w:sz="4" w:space="0"/>
              <w:right w:val="single" w:color="auto" w:sz="4" w:space="0"/>
            </w:tcBorders>
            <w:shd w:val="clear" w:color="auto" w:fill="auto"/>
            <w:vAlign w:val="center"/>
          </w:tcPr>
          <w:p>
            <w:pPr>
              <w:widowControl/>
              <w:ind w:left="-1" w:leftChars="-1" w:hang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1000≤Y＜5000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零售业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X≥300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50≤X＜300</w:t>
            </w:r>
          </w:p>
        </w:tc>
        <w:tc>
          <w:tcPr>
            <w:tcW w:w="1426" w:type="dxa"/>
            <w:tcBorders>
              <w:top w:val="nil"/>
              <w:left w:val="nil"/>
              <w:bottom w:val="nil"/>
              <w:right w:val="single" w:color="auto" w:sz="4" w:space="0"/>
            </w:tcBorders>
            <w:shd w:val="clear" w:color="auto" w:fill="auto"/>
            <w:vAlign w:val="center"/>
          </w:tcPr>
          <w:p>
            <w:pPr>
              <w:widowControl/>
              <w:ind w:left="-1" w:leftChars="-1" w:hang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10≤X＜50 </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Y≥20000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500≤Y＜20000</w:t>
            </w:r>
          </w:p>
        </w:tc>
        <w:tc>
          <w:tcPr>
            <w:tcW w:w="1426" w:type="dxa"/>
            <w:tcBorders>
              <w:top w:val="nil"/>
              <w:left w:val="nil"/>
              <w:bottom w:val="single" w:color="auto" w:sz="4" w:space="0"/>
              <w:right w:val="single" w:color="auto" w:sz="4" w:space="0"/>
            </w:tcBorders>
            <w:shd w:val="clear" w:color="auto" w:fill="auto"/>
            <w:vAlign w:val="center"/>
          </w:tcPr>
          <w:p>
            <w:pPr>
              <w:widowControl/>
              <w:ind w:left="-1" w:leftChars="-1" w:hang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100≤Y＜500 </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交通运输业 *</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300≤X＜1000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20≤X＜300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X＜20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Y≥30000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3000≤Y＜30000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200≤Y＜3000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Y＜200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仓储业*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X≥200</w:t>
            </w:r>
          </w:p>
        </w:tc>
        <w:tc>
          <w:tcPr>
            <w:tcW w:w="1701" w:type="dxa"/>
            <w:tcBorders>
              <w:top w:val="nil"/>
              <w:left w:val="nil"/>
              <w:bottom w:val="nil"/>
              <w:right w:val="single" w:color="auto" w:sz="4" w:space="0"/>
            </w:tcBorders>
            <w:shd w:val="clear" w:color="auto" w:fill="auto"/>
            <w:vAlign w:val="center"/>
          </w:tcPr>
          <w:p>
            <w:pPr>
              <w:widowControl/>
              <w:ind w:left="1" w:leftChars="-51" w:hanging="108" w:hangingChars="60"/>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100≤X＜200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20≤X＜100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X＜20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Y≥30000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1000≤Y＜30000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100≤Y＜1000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邮政业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300≤X＜1000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20≤X＜300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X＜20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Y≥30000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2000≤Y＜30000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100≤Y＜2000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住宿业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X≥300</w:t>
            </w:r>
          </w:p>
        </w:tc>
        <w:tc>
          <w:tcPr>
            <w:tcW w:w="1701" w:type="dxa"/>
            <w:tcBorders>
              <w:top w:val="nil"/>
              <w:left w:val="nil"/>
              <w:bottom w:val="nil"/>
              <w:right w:val="single" w:color="auto" w:sz="4" w:space="0"/>
            </w:tcBorders>
            <w:shd w:val="clear" w:color="auto" w:fill="auto"/>
            <w:vAlign w:val="center"/>
          </w:tcPr>
          <w:p>
            <w:pPr>
              <w:widowControl/>
              <w:ind w:left="1" w:leftChars="-51" w:hanging="108" w:hangingChars="60"/>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100≤X＜300 </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10≤X＜100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2000≤Y＜10000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100≤Y＜2000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餐饮业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X≥300</w:t>
            </w:r>
          </w:p>
        </w:tc>
        <w:tc>
          <w:tcPr>
            <w:tcW w:w="1701" w:type="dxa"/>
            <w:tcBorders>
              <w:top w:val="nil"/>
              <w:left w:val="nil"/>
              <w:bottom w:val="nil"/>
              <w:right w:val="single" w:color="auto" w:sz="4" w:space="0"/>
            </w:tcBorders>
            <w:shd w:val="clear" w:color="auto" w:fill="auto"/>
            <w:vAlign w:val="center"/>
          </w:tcPr>
          <w:p>
            <w:pPr>
              <w:widowControl/>
              <w:ind w:left="1" w:leftChars="-51" w:hanging="108" w:hangingChars="60"/>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100≤X＜300 </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10≤X＜100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2000≤Y＜10000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100≤Y＜2000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w:t>
            </w:r>
          </w:p>
        </w:tc>
      </w:tr>
      <w:tr>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信息传输业 *</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X≥2000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100≤X＜2000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10≤X＜100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w:t>
            </w:r>
          </w:p>
        </w:tc>
      </w:tr>
      <w:tr>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1000≤Y＜100000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100≤Y＜1000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w:t>
            </w:r>
          </w:p>
        </w:tc>
      </w:tr>
      <w:tr>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spacing w:val="-12"/>
                <w:kern w:val="0"/>
                <w:sz w:val="18"/>
                <w:szCs w:val="18"/>
                <w14:textFill>
                  <w14:solidFill>
                    <w14:schemeClr w14:val="tx1"/>
                  </w14:solidFill>
                </w14:textFill>
              </w:rPr>
            </w:pPr>
            <w:r>
              <w:rPr>
                <w:rFonts w:hint="eastAsia" w:ascii="宋体" w:hAnsi="宋体" w:cs="宋体"/>
                <w:color w:val="000000" w:themeColor="text1"/>
                <w:spacing w:val="-12"/>
                <w:kern w:val="0"/>
                <w:sz w:val="18"/>
                <w:szCs w:val="18"/>
                <w14:textFill>
                  <w14:solidFill>
                    <w14:schemeClr w14:val="tx1"/>
                  </w14:solidFill>
                </w14:textFill>
              </w:rPr>
              <w:t>软件和信息技术服</w:t>
            </w:r>
            <w:r>
              <w:rPr>
                <w:rFonts w:hint="eastAsia" w:ascii="宋体" w:hAnsi="宋体" w:cs="宋体"/>
                <w:color w:val="000000" w:themeColor="text1"/>
                <w:kern w:val="0"/>
                <w:sz w:val="18"/>
                <w:szCs w:val="18"/>
                <w14:textFill>
                  <w14:solidFill>
                    <w14:schemeClr w14:val="tx1"/>
                  </w14:solidFill>
                </w14:textFill>
              </w:rPr>
              <w:t>务业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X≥300</w:t>
            </w:r>
          </w:p>
        </w:tc>
        <w:tc>
          <w:tcPr>
            <w:tcW w:w="1701" w:type="dxa"/>
            <w:tcBorders>
              <w:top w:val="nil"/>
              <w:left w:val="nil"/>
              <w:bottom w:val="nil"/>
              <w:right w:val="single" w:color="auto" w:sz="4" w:space="0"/>
            </w:tcBorders>
            <w:shd w:val="clear" w:color="auto" w:fill="auto"/>
            <w:vAlign w:val="center"/>
          </w:tcPr>
          <w:p>
            <w:pPr>
              <w:widowControl/>
              <w:ind w:left="1" w:leftChars="-51" w:hanging="108" w:hangingChars="60"/>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100≤X＜300 </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10≤X＜100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w:t>
            </w:r>
          </w:p>
        </w:tc>
      </w:tr>
      <w:tr>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themeColor="text1"/>
                <w:spacing w:val="-12"/>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1000≤Y＜10000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50≤Y＜1000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Y＜50</w:t>
            </w:r>
          </w:p>
        </w:tc>
      </w:tr>
      <w:tr>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房地产开发经营</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Y≥200000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1000≤Y＜200000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100≤Y＜1000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Y＜100</w:t>
            </w:r>
          </w:p>
        </w:tc>
      </w:tr>
      <w:tr>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资产总额(Z)</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Z≥10000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5000≤Z＜10000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2000≤Z＜5000   </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Z＜2000</w:t>
            </w:r>
          </w:p>
        </w:tc>
      </w:tr>
      <w:tr>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物业管理</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X≥1000</w:t>
            </w:r>
          </w:p>
        </w:tc>
        <w:tc>
          <w:tcPr>
            <w:tcW w:w="1701"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300≤X＜1000</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100≤X＜300 </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X＜100</w:t>
            </w:r>
          </w:p>
        </w:tc>
      </w:tr>
      <w:tr>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营业收入(Y)</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Y≥5000</w:t>
            </w:r>
          </w:p>
        </w:tc>
        <w:tc>
          <w:tcPr>
            <w:tcW w:w="1701" w:type="dxa"/>
            <w:tcBorders>
              <w:top w:val="nil"/>
              <w:left w:val="nil"/>
              <w:bottom w:val="single" w:color="auto" w:sz="4" w:space="0"/>
              <w:right w:val="single" w:color="auto" w:sz="4" w:space="0"/>
            </w:tcBorders>
            <w:shd w:val="clear" w:color="auto" w:fill="auto"/>
            <w:vAlign w:val="center"/>
          </w:tcPr>
          <w:p>
            <w:pPr>
              <w:widowControl/>
              <w:ind w:left="1" w:leftChars="-51" w:hanging="108" w:hangingChars="60"/>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1000≤Y＜5000 </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500≤Y＜1000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Y＜500</w:t>
            </w:r>
          </w:p>
        </w:tc>
      </w:tr>
      <w:tr>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租赁和商务服务业</w:t>
            </w:r>
          </w:p>
        </w:tc>
        <w:tc>
          <w:tcPr>
            <w:tcW w:w="136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X≥300</w:t>
            </w:r>
          </w:p>
        </w:tc>
        <w:tc>
          <w:tcPr>
            <w:tcW w:w="1701" w:type="dxa"/>
            <w:tcBorders>
              <w:top w:val="nil"/>
              <w:left w:val="nil"/>
              <w:bottom w:val="nil"/>
              <w:right w:val="single" w:color="auto" w:sz="4" w:space="0"/>
            </w:tcBorders>
            <w:shd w:val="clear" w:color="auto" w:fill="auto"/>
            <w:vAlign w:val="center"/>
          </w:tcPr>
          <w:p>
            <w:pPr>
              <w:widowControl/>
              <w:ind w:left="1" w:leftChars="-51" w:hanging="108" w:hangingChars="60"/>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100≤X＜300 </w:t>
            </w:r>
          </w:p>
        </w:tc>
        <w:tc>
          <w:tcPr>
            <w:tcW w:w="1426" w:type="dxa"/>
            <w:tcBorders>
              <w:top w:val="nil"/>
              <w:left w:val="nil"/>
              <w:bottom w:val="nil"/>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10≤X＜100</w:t>
            </w:r>
          </w:p>
        </w:tc>
        <w:tc>
          <w:tcPr>
            <w:tcW w:w="992" w:type="dxa"/>
            <w:tcBorders>
              <w:top w:val="nil"/>
              <w:left w:val="nil"/>
              <w:bottom w:val="nil"/>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w:t>
            </w:r>
          </w:p>
        </w:tc>
      </w:tr>
      <w:tr>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36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资产总额(Z)</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万元</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Z≥120000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8000≤Z＜120000</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100≤Z＜8000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Z＜100</w:t>
            </w:r>
          </w:p>
        </w:tc>
      </w:tr>
      <w:tr>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其他未列明行业 *</w:t>
            </w:r>
          </w:p>
        </w:tc>
        <w:tc>
          <w:tcPr>
            <w:tcW w:w="13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从业人员(X)</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人</w:t>
            </w:r>
          </w:p>
        </w:tc>
        <w:tc>
          <w:tcPr>
            <w:tcW w:w="11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X≥300</w:t>
            </w:r>
          </w:p>
        </w:tc>
        <w:tc>
          <w:tcPr>
            <w:tcW w:w="1701" w:type="dxa"/>
            <w:tcBorders>
              <w:top w:val="nil"/>
              <w:left w:val="nil"/>
              <w:bottom w:val="single" w:color="auto" w:sz="4" w:space="0"/>
              <w:right w:val="single" w:color="auto" w:sz="4" w:space="0"/>
            </w:tcBorders>
            <w:shd w:val="clear" w:color="auto" w:fill="auto"/>
            <w:vAlign w:val="center"/>
          </w:tcPr>
          <w:p>
            <w:pPr>
              <w:widowControl/>
              <w:ind w:left="1" w:leftChars="-51" w:hanging="108" w:hangingChars="60"/>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100≤X＜300 </w:t>
            </w:r>
          </w:p>
        </w:tc>
        <w:tc>
          <w:tcPr>
            <w:tcW w:w="14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xml:space="preserve"> 10≤X＜100</w:t>
            </w:r>
          </w:p>
        </w:tc>
        <w:tc>
          <w:tcPr>
            <w:tcW w:w="992" w:type="dxa"/>
            <w:tcBorders>
              <w:top w:val="nil"/>
              <w:left w:val="nil"/>
              <w:bottom w:val="single" w:color="auto" w:sz="4" w:space="0"/>
              <w:right w:val="nil"/>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X＜10</w:t>
            </w:r>
          </w:p>
        </w:tc>
      </w:tr>
    </w:tbl>
    <w:p>
      <w:pPr>
        <w:widowControl/>
        <w:spacing w:line="540" w:lineRule="exact"/>
        <w:rPr>
          <w:rFonts w:hint="eastAsia" w:ascii="仿宋_GB2312" w:hAnsi="Times New Roman" w:eastAsia="仿宋_GB2312" w:cs="宋体"/>
          <w:color w:val="000000" w:themeColor="text1"/>
          <w:spacing w:val="8"/>
          <w:kern w:val="0"/>
          <w:sz w:val="32"/>
          <w:szCs w:val="32"/>
          <w14:textFill>
            <w14:solidFill>
              <w14:schemeClr w14:val="tx1"/>
            </w14:solidFill>
          </w14:textFill>
        </w:rPr>
      </w:pPr>
    </w:p>
    <w:p>
      <w:pPr>
        <w:widowControl/>
        <w:spacing w:line="540" w:lineRule="exact"/>
        <w:rPr>
          <w:rFonts w:hint="eastAsia" w:ascii="仿宋_GB2312" w:hAnsi="Times New Roman" w:eastAsia="仿宋_GB2312" w:cs="宋体"/>
          <w:color w:val="000000" w:themeColor="text1"/>
          <w:spacing w:val="8"/>
          <w:kern w:val="0"/>
          <w:sz w:val="32"/>
          <w:szCs w:val="32"/>
          <w14:textFill>
            <w14:solidFill>
              <w14:schemeClr w14:val="tx1"/>
            </w14:solidFill>
          </w14:textFill>
        </w:rPr>
      </w:pPr>
    </w:p>
    <w:p>
      <w:pPr>
        <w:widowControl/>
        <w:spacing w:line="240" w:lineRule="auto"/>
        <w:rPr>
          <w:rFonts w:ascii="仿宋_GB2312" w:hAnsi="宋体" w:eastAsia="仿宋_GB2312" w:cs="宋体"/>
          <w:color w:val="000000" w:themeColor="text1"/>
          <w:spacing w:val="8"/>
          <w:kern w:val="0"/>
          <w:sz w:val="24"/>
          <w:szCs w:val="24"/>
          <w14:textFill>
            <w14:solidFill>
              <w14:schemeClr w14:val="tx1"/>
            </w14:solidFill>
          </w14:textFill>
        </w:rPr>
      </w:pPr>
      <w:r>
        <w:rPr>
          <w:rFonts w:hint="eastAsia" w:ascii="仿宋_GB2312" w:hAnsi="Times New Roman" w:eastAsia="仿宋_GB2312" w:cs="宋体"/>
          <w:color w:val="000000" w:themeColor="text1"/>
          <w:spacing w:val="8"/>
          <w:kern w:val="0"/>
          <w:sz w:val="24"/>
          <w:szCs w:val="24"/>
          <w14:textFill>
            <w14:solidFill>
              <w14:schemeClr w14:val="tx1"/>
            </w14:solidFill>
          </w14:textFill>
        </w:rPr>
        <w:t>说明：</w:t>
      </w:r>
    </w:p>
    <w:p>
      <w:pPr>
        <w:spacing w:line="240" w:lineRule="auto"/>
        <w:rPr>
          <w:rFonts w:ascii="仿宋_GB2312" w:hAnsi="宋体" w:eastAsia="仿宋_GB2312" w:cs="宋体"/>
          <w:color w:val="000000" w:themeColor="text1"/>
          <w:spacing w:val="8"/>
          <w:kern w:val="0"/>
          <w:sz w:val="24"/>
          <w:szCs w:val="24"/>
          <w14:textFill>
            <w14:solidFill>
              <w14:schemeClr w14:val="tx1"/>
            </w14:solidFill>
          </w14:textFill>
        </w:rPr>
      </w:pPr>
      <w:r>
        <w:rPr>
          <w:rFonts w:hint="eastAsia" w:ascii="仿宋_GB2312" w:hAnsi="Times New Roman" w:eastAsia="仿宋_GB2312" w:cs="宋体"/>
          <w:color w:val="000000" w:themeColor="text1"/>
          <w:spacing w:val="8"/>
          <w:kern w:val="0"/>
          <w:sz w:val="24"/>
          <w:szCs w:val="24"/>
          <w14:textFill>
            <w14:solidFill>
              <w14:schemeClr w14:val="tx1"/>
            </w14:solidFill>
          </w14:textFill>
        </w:rPr>
        <w:t>　　</w:t>
      </w:r>
      <w:r>
        <w:rPr>
          <w:rFonts w:hint="eastAsia" w:ascii="仿宋_GB2312" w:hAnsi="Times New Roman" w:eastAsia="仿宋_GB2312"/>
          <w:color w:val="000000" w:themeColor="text1"/>
          <w:spacing w:val="8"/>
          <w:kern w:val="0"/>
          <w:sz w:val="24"/>
          <w:szCs w:val="24"/>
          <w14:textFill>
            <w14:solidFill>
              <w14:schemeClr w14:val="tx1"/>
            </w14:solidFill>
          </w14:textFill>
        </w:rPr>
        <w:t>1.</w:t>
      </w:r>
      <w:r>
        <w:rPr>
          <w:rFonts w:hint="eastAsia" w:ascii="仿宋_GB2312" w:hAnsi="Times New Roman" w:eastAsia="仿宋_GB2312" w:cs="宋体"/>
          <w:color w:val="000000" w:themeColor="text1"/>
          <w:spacing w:val="8"/>
          <w:kern w:val="0"/>
          <w:sz w:val="24"/>
          <w:szCs w:val="24"/>
          <w14:textFill>
            <w14:solidFill>
              <w14:schemeClr w14:val="tx1"/>
            </w14:solidFill>
          </w14:textFill>
        </w:rPr>
        <w:t>大型、中型和小型企业须同时满足所列指标的下限，否则下划一档；微型企业只须满足所列指标中的一项即可。</w:t>
      </w:r>
    </w:p>
    <w:p>
      <w:pPr>
        <w:spacing w:line="240" w:lineRule="auto"/>
        <w:rPr>
          <w:rFonts w:ascii="仿宋_GB2312" w:hAnsi="宋体" w:eastAsia="仿宋_GB2312" w:cs="宋体"/>
          <w:color w:val="000000" w:themeColor="text1"/>
          <w:spacing w:val="8"/>
          <w:kern w:val="0"/>
          <w:sz w:val="24"/>
          <w:szCs w:val="24"/>
          <w14:textFill>
            <w14:solidFill>
              <w14:schemeClr w14:val="tx1"/>
            </w14:solidFill>
          </w14:textFill>
        </w:rPr>
      </w:pPr>
      <w:r>
        <w:rPr>
          <w:rFonts w:hint="eastAsia" w:ascii="仿宋_GB2312" w:hAnsi="Times New Roman" w:eastAsia="仿宋_GB2312" w:cs="宋体"/>
          <w:color w:val="000000" w:themeColor="text1"/>
          <w:spacing w:val="8"/>
          <w:kern w:val="0"/>
          <w:sz w:val="24"/>
          <w:szCs w:val="24"/>
          <w14:textFill>
            <w14:solidFill>
              <w14:schemeClr w14:val="tx1"/>
            </w14:solidFill>
          </w14:textFill>
        </w:rPr>
        <w:t>　　</w:t>
      </w:r>
      <w:r>
        <w:rPr>
          <w:rFonts w:hint="eastAsia" w:ascii="仿宋_GB2312" w:hAnsi="Times New Roman" w:eastAsia="仿宋_GB2312"/>
          <w:color w:val="000000" w:themeColor="text1"/>
          <w:spacing w:val="8"/>
          <w:kern w:val="0"/>
          <w:sz w:val="24"/>
          <w:szCs w:val="24"/>
          <w14:textFill>
            <w14:solidFill>
              <w14:schemeClr w14:val="tx1"/>
            </w14:solidFill>
          </w14:textFill>
        </w:rPr>
        <w:t>2.</w:t>
      </w:r>
      <w:r>
        <w:rPr>
          <w:rFonts w:hint="eastAsia" w:ascii="仿宋_GB2312" w:hAnsi="Times New Roman" w:eastAsia="仿宋_GB2312" w:cs="宋体"/>
          <w:color w:val="000000" w:themeColor="text1"/>
          <w:spacing w:val="8"/>
          <w:kern w:val="0"/>
          <w:sz w:val="24"/>
          <w:szCs w:val="24"/>
          <w14:textFill>
            <w14:solidFill>
              <w14:schemeClr w14:val="tx1"/>
            </w14:solidFill>
          </w14:textFill>
        </w:rPr>
        <w:t>附表中各行业的范围以《国民经济行业分类》（</w:t>
      </w:r>
      <w:r>
        <w:rPr>
          <w:rFonts w:hint="eastAsia" w:ascii="仿宋_GB2312" w:hAnsi="Times New Roman" w:eastAsia="仿宋_GB2312"/>
          <w:color w:val="000000" w:themeColor="text1"/>
          <w:spacing w:val="8"/>
          <w:kern w:val="0"/>
          <w:sz w:val="24"/>
          <w:szCs w:val="24"/>
          <w14:textFill>
            <w14:solidFill>
              <w14:schemeClr w14:val="tx1"/>
            </w14:solidFill>
          </w14:textFill>
        </w:rPr>
        <w:t>GB/T4754-2017</w:t>
      </w:r>
      <w:r>
        <w:rPr>
          <w:rFonts w:hint="eastAsia" w:ascii="仿宋_GB2312" w:hAnsi="Times New Roman" w:eastAsia="仿宋_GB2312" w:cs="宋体"/>
          <w:color w:val="000000" w:themeColor="text1"/>
          <w:spacing w:val="8"/>
          <w:kern w:val="0"/>
          <w:sz w:val="24"/>
          <w:szCs w:val="24"/>
          <w14:textFill>
            <w14:solidFill>
              <w14:schemeClr w14:val="tx1"/>
            </w14:solidFill>
          </w14:textFill>
        </w:rPr>
        <w:t>）为准。带</w:t>
      </w:r>
      <w:r>
        <w:rPr>
          <w:rFonts w:hint="eastAsia" w:ascii="仿宋_GB2312" w:hAnsi="Times New Roman" w:eastAsia="仿宋_GB2312"/>
          <w:color w:val="000000" w:themeColor="text1"/>
          <w:spacing w:val="8"/>
          <w:kern w:val="0"/>
          <w:sz w:val="24"/>
          <w:szCs w:val="24"/>
          <w14:textFill>
            <w14:solidFill>
              <w14:schemeClr w14:val="tx1"/>
            </w14:solidFill>
          </w14:textFill>
        </w:rPr>
        <w:t>*</w:t>
      </w:r>
      <w:r>
        <w:rPr>
          <w:rFonts w:hint="eastAsia" w:ascii="仿宋_GB2312" w:hAnsi="Times New Roman" w:eastAsia="仿宋_GB2312" w:cs="宋体"/>
          <w:color w:val="000000" w:themeColor="text1"/>
          <w:spacing w:val="8"/>
          <w:kern w:val="0"/>
          <w:sz w:val="24"/>
          <w:szCs w:val="24"/>
          <w14:textFill>
            <w14:solidFill>
              <w14:schemeClr w14:val="tx1"/>
            </w14:solidFill>
          </w14:textFill>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spacing w:line="240" w:lineRule="auto"/>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r>
        <w:rPr>
          <w:rFonts w:hint="eastAsia" w:ascii="仿宋_GB2312" w:hAnsi="Times New Roman" w:eastAsia="仿宋_GB2312" w:cs="宋体"/>
          <w:color w:val="000000" w:themeColor="text1"/>
          <w:spacing w:val="8"/>
          <w:kern w:val="0"/>
          <w:sz w:val="24"/>
          <w:szCs w:val="24"/>
          <w14:textFill>
            <w14:solidFill>
              <w14:schemeClr w14:val="tx1"/>
            </w14:solidFill>
          </w14:textFill>
        </w:rPr>
        <w:t>　　</w:t>
      </w:r>
      <w:r>
        <w:rPr>
          <w:rFonts w:hint="eastAsia" w:ascii="仿宋_GB2312" w:hAnsi="Times New Roman" w:eastAsia="仿宋_GB2312"/>
          <w:color w:val="000000" w:themeColor="text1"/>
          <w:spacing w:val="8"/>
          <w:kern w:val="0"/>
          <w:sz w:val="24"/>
          <w:szCs w:val="24"/>
          <w14:textFill>
            <w14:solidFill>
              <w14:schemeClr w14:val="tx1"/>
            </w14:solidFill>
          </w14:textFill>
        </w:rPr>
        <w:t>3.</w:t>
      </w:r>
      <w:r>
        <w:rPr>
          <w:rFonts w:hint="eastAsia" w:ascii="仿宋_GB2312" w:hAnsi="Times New Roman" w:eastAsia="仿宋_GB2312" w:cs="宋体"/>
          <w:color w:val="000000" w:themeColor="text1"/>
          <w:spacing w:val="8"/>
          <w:kern w:val="0"/>
          <w:sz w:val="24"/>
          <w:szCs w:val="24"/>
          <w14:textFill>
            <w14:solidFill>
              <w14:schemeClr w14:val="tx1"/>
            </w14:solidFill>
          </w14:textFill>
        </w:rPr>
        <w:t>企业划分指标以现行统计制度为准。（</w:t>
      </w:r>
      <w:r>
        <w:rPr>
          <w:rFonts w:hint="eastAsia" w:ascii="仿宋_GB2312" w:hAnsi="Times New Roman" w:eastAsia="仿宋_GB2312"/>
          <w:color w:val="000000" w:themeColor="text1"/>
          <w:spacing w:val="8"/>
          <w:kern w:val="0"/>
          <w:sz w:val="24"/>
          <w:szCs w:val="24"/>
          <w14:textFill>
            <w14:solidFill>
              <w14:schemeClr w14:val="tx1"/>
            </w14:solidFill>
          </w14:textFill>
        </w:rPr>
        <w:t>1</w:t>
      </w:r>
      <w:r>
        <w:rPr>
          <w:rFonts w:hint="eastAsia" w:ascii="仿宋_GB2312" w:hAnsi="Times New Roman" w:eastAsia="仿宋_GB2312" w:cs="宋体"/>
          <w:color w:val="000000" w:themeColor="text1"/>
          <w:spacing w:val="8"/>
          <w:kern w:val="0"/>
          <w:sz w:val="24"/>
          <w:szCs w:val="24"/>
          <w14:textFill>
            <w14:solidFill>
              <w14:schemeClr w14:val="tx1"/>
            </w14:solidFill>
          </w14:textFill>
        </w:rPr>
        <w:t>）从业人员，是指期末从业人员数，没有期末从业人员数的，采用全年平均人员数代替。（</w:t>
      </w:r>
      <w:r>
        <w:rPr>
          <w:rFonts w:hint="eastAsia" w:ascii="仿宋_GB2312" w:hAnsi="Times New Roman" w:eastAsia="仿宋_GB2312"/>
          <w:color w:val="000000" w:themeColor="text1"/>
          <w:spacing w:val="8"/>
          <w:kern w:val="0"/>
          <w:sz w:val="24"/>
          <w:szCs w:val="24"/>
          <w14:textFill>
            <w14:solidFill>
              <w14:schemeClr w14:val="tx1"/>
            </w14:solidFill>
          </w14:textFill>
        </w:rPr>
        <w:t>2</w:t>
      </w:r>
      <w:r>
        <w:rPr>
          <w:rFonts w:hint="eastAsia" w:ascii="仿宋_GB2312" w:hAnsi="Times New Roman" w:eastAsia="仿宋_GB2312" w:cs="宋体"/>
          <w:color w:val="000000" w:themeColor="text1"/>
          <w:spacing w:val="8"/>
          <w:kern w:val="0"/>
          <w:sz w:val="24"/>
          <w:szCs w:val="24"/>
          <w14:textFill>
            <w14:solidFill>
              <w14:schemeClr w14:val="tx1"/>
            </w14:solidFill>
          </w14:textFill>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ascii="仿宋_GB2312" w:hAnsi="Times New Roman" w:eastAsia="仿宋_GB2312"/>
          <w:color w:val="000000" w:themeColor="text1"/>
          <w:spacing w:val="8"/>
          <w:kern w:val="0"/>
          <w:sz w:val="24"/>
          <w:szCs w:val="24"/>
          <w14:textFill>
            <w14:solidFill>
              <w14:schemeClr w14:val="tx1"/>
            </w14:solidFill>
          </w14:textFill>
        </w:rPr>
        <w:t>3</w:t>
      </w:r>
      <w:r>
        <w:rPr>
          <w:rFonts w:hint="eastAsia" w:ascii="仿宋_GB2312" w:hAnsi="Times New Roman" w:eastAsia="仿宋_GB2312" w:cs="宋体"/>
          <w:color w:val="000000" w:themeColor="text1"/>
          <w:spacing w:val="8"/>
          <w:kern w:val="0"/>
          <w:sz w:val="24"/>
          <w:szCs w:val="24"/>
          <w14:textFill>
            <w14:solidFill>
              <w14:schemeClr w14:val="tx1"/>
            </w14:solidFill>
          </w14:textFill>
        </w:rPr>
        <w:t>）资产总额，采用资产总计代替。</w:t>
      </w: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rPr>
          <w:rFonts w:hint="eastAsia" w:ascii="黑体" w:hAnsi="黑体" w:eastAsia="黑体" w:cs="黑体"/>
          <w:b w:val="0"/>
          <w:color w:val="000000" w:themeColor="text1"/>
          <w:kern w:val="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汉仪君黑KW 55J"/>
    <w:panose1 w:val="05020102010507070707"/>
    <w:charset w:val="00"/>
    <w:family w:val="auto"/>
    <w:pitch w:val="default"/>
    <w:sig w:usb0="00000000" w:usb1="00000000" w:usb2="00000000" w:usb3="00000000" w:csb0="80000000" w:csb1="00000000"/>
  </w:font>
  <w:font w:name="汉仪中等线KW">
    <w:panose1 w:val="01010104010101010101"/>
    <w:charset w:val="86"/>
    <w:family w:val="auto"/>
    <w:pitch w:val="default"/>
    <w:sig w:usb0="800002BF" w:usb1="004F7CFA" w:usb2="00000000" w:usb3="00000000" w:csb0="00040001" w:csb1="00000000"/>
  </w:font>
  <w:font w:name="汉仪君黑KW 55J">
    <w:panose1 w:val="00020600040101010101"/>
    <w:charset w:val="86"/>
    <w:family w:val="auto"/>
    <w:pitch w:val="default"/>
    <w:sig w:usb0="A00002BF" w:usb1="0A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hint="default"/>
        <w:lang w:val="en"/>
      </w:rPr>
    </w:pPr>
    <w:r>
      <w:rPr>
        <w:lang w:val="e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V6/kbRAQAAngMAAA4AAABkcnMvZTJvRG9jLnhtbK1TS47TQBDdI3GH&#10;Vu+JnYB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mr8g113glLPb/8+H75+fvy&#10;6xt7mRzqA1Z08T7cwZQhhUnu0IJNXxLChuzq+eqqGiKTtLlcr9brkgyXdDYnhFM8PA+A8Z3ylqWg&#10;5kBty26K0weM49X5SqpmXFqdv9XGjKdpp0g0R2IpisN+mNjufXMmlTT0BN55+MpZTy2vuaMJ58y8&#10;d+Romo45gDnYz4Fwkh7WPHJ2DKAPXZ6kRAPD22MkKplnKjxWm/hQ27LSacTSXPyd51sPv9X2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Vev5G0QEAAJ4DAAAOAAAAAAAAAAEAIAAAAB8BAABk&#10;cnMvZTJvRG9jLnhtbFBLBQYAAAAABgAGAFkBAABiBQAAAAA=&#10;">
              <v:fill on="f" focussize="0,0"/>
              <v:stroke on="f"/>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9"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MmiT9tIBAACeAwAADgAAAAAAAAABACAAAAAfAQAA&#10;ZHJzL2Uyb0RvYy54bWxQSwUGAAAAAAYABgBZAQAAYwUAAAAA&#10;">
              <v:fill on="f" focussize="0,0"/>
              <v:stroke on="f"/>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079BD"/>
    <w:rsid w:val="03F34EDA"/>
    <w:rsid w:val="143D39A6"/>
    <w:rsid w:val="264307E4"/>
    <w:rsid w:val="26DA3D47"/>
    <w:rsid w:val="2DF94291"/>
    <w:rsid w:val="34694679"/>
    <w:rsid w:val="382318E6"/>
    <w:rsid w:val="39921941"/>
    <w:rsid w:val="40EC1D5F"/>
    <w:rsid w:val="47C339C2"/>
    <w:rsid w:val="564B0BB0"/>
    <w:rsid w:val="58C77C45"/>
    <w:rsid w:val="5C92756D"/>
    <w:rsid w:val="5E7F7477"/>
    <w:rsid w:val="6999742B"/>
    <w:rsid w:val="6C377C43"/>
    <w:rsid w:val="6F7B05BC"/>
    <w:rsid w:val="6F7F17F1"/>
    <w:rsid w:val="70F95DF2"/>
    <w:rsid w:val="713B30FD"/>
    <w:rsid w:val="77357CE4"/>
    <w:rsid w:val="7AFF4BB3"/>
    <w:rsid w:val="7D060FF7"/>
    <w:rsid w:val="7DF83F42"/>
    <w:rsid w:val="7ED7B33C"/>
    <w:rsid w:val="7EF76292"/>
    <w:rsid w:val="7EFF485F"/>
    <w:rsid w:val="7FB7A172"/>
    <w:rsid w:val="7FBF5C00"/>
    <w:rsid w:val="9B55ACBF"/>
    <w:rsid w:val="B39FF058"/>
    <w:rsid w:val="B7773DFA"/>
    <w:rsid w:val="BD961EC7"/>
    <w:rsid w:val="DBFFAC6E"/>
    <w:rsid w:val="DFDF600B"/>
    <w:rsid w:val="E5EB0C7A"/>
    <w:rsid w:val="EB5FF4FB"/>
    <w:rsid w:val="EBFF8BF7"/>
    <w:rsid w:val="EFFFF95C"/>
    <w:rsid w:val="F8F706B0"/>
    <w:rsid w:val="FB7D8663"/>
    <w:rsid w:val="FBCD3C2D"/>
    <w:rsid w:val="FD2BE443"/>
    <w:rsid w:val="FED1945F"/>
    <w:rsid w:val="FEFE2D61"/>
    <w:rsid w:val="FF9FE5BB"/>
    <w:rsid w:val="FFEBB3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basedOn w:val="4"/>
    <w:next w:val="1"/>
    <w:qFormat/>
    <w:uiPriority w:val="0"/>
    <w:pPr>
      <w:spacing w:before="320" w:after="120" w:line="288" w:lineRule="auto"/>
      <w:ind w:left="0"/>
      <w:jc w:val="left"/>
      <w:outlineLvl w:val="1"/>
    </w:pPr>
    <w:rPr>
      <w:rFonts w:ascii="Arial" w:hAnsi="Arial" w:eastAsia="等线" w:cs="Arial"/>
      <w:sz w:val="32"/>
      <w:szCs w:val="32"/>
    </w:rPr>
  </w:style>
  <w:style w:type="paragraph" w:styleId="4">
    <w:name w:val="heading 3"/>
    <w:basedOn w:val="5"/>
    <w:next w:val="1"/>
    <w:qFormat/>
    <w:uiPriority w:val="0"/>
    <w:pPr>
      <w:spacing w:before="300" w:after="120" w:line="288" w:lineRule="auto"/>
      <w:ind w:left="0"/>
      <w:jc w:val="left"/>
      <w:outlineLvl w:val="2"/>
    </w:pPr>
    <w:rPr>
      <w:rFonts w:ascii="Arial" w:hAnsi="Arial" w:eastAsia="等线" w:cs="Arial"/>
      <w:bCs/>
      <w:sz w:val="30"/>
      <w:szCs w:val="30"/>
    </w:rPr>
  </w:style>
  <w:style w:type="paragraph" w:styleId="5">
    <w:name w:val="heading 4"/>
    <w:basedOn w:val="1"/>
    <w:next w:val="1"/>
    <w:qFormat/>
    <w:uiPriority w:val="0"/>
    <w:pPr>
      <w:keepNext/>
      <w:keepLines/>
      <w:spacing w:before="280" w:after="290" w:line="372" w:lineRule="auto"/>
      <w:outlineLvl w:val="3"/>
    </w:pPr>
    <w:rPr>
      <w:rFonts w:ascii="Arial" w:hAnsi="Arial" w:eastAsia="黑体" w:cs="Times New Roman"/>
      <w:b/>
      <w:sz w:val="28"/>
    </w:rPr>
  </w:style>
  <w:style w:type="character" w:default="1" w:styleId="18">
    <w:name w:val="Default Paragraph Font"/>
    <w:qFormat/>
    <w:uiPriority w:val="0"/>
  </w:style>
  <w:style w:type="table" w:default="1" w:styleId="16">
    <w:name w:val="Normal Table"/>
    <w:qFormat/>
    <w:uiPriority w:val="0"/>
    <w:tblPr>
      <w:tblCellMar>
        <w:top w:w="0" w:type="dxa"/>
        <w:left w:w="108" w:type="dxa"/>
        <w:bottom w:w="0" w:type="dxa"/>
        <w:right w:w="108" w:type="dxa"/>
      </w:tblCellMar>
    </w:tblPr>
  </w:style>
  <w:style w:type="paragraph" w:styleId="6">
    <w:name w:val="Normal Indent"/>
    <w:basedOn w:val="1"/>
    <w:next w:val="1"/>
    <w:qFormat/>
    <w:uiPriority w:val="0"/>
    <w:pPr>
      <w:adjustRightInd w:val="0"/>
      <w:ind w:firstLine="420"/>
      <w:jc w:val="left"/>
    </w:pPr>
    <w:rPr>
      <w:rFonts w:eastAsia="楷体_GB2312"/>
      <w:sz w:val="24"/>
      <w:szCs w:val="20"/>
    </w:rPr>
  </w:style>
  <w:style w:type="paragraph" w:styleId="7">
    <w:name w:val="Body Text"/>
    <w:basedOn w:val="1"/>
    <w:next w:val="8"/>
    <w:qFormat/>
    <w:uiPriority w:val="0"/>
    <w:pPr>
      <w:spacing w:after="120" w:line="240" w:lineRule="auto"/>
      <w:ind w:firstLine="0" w:firstLineChars="0"/>
    </w:pPr>
    <w:rPr>
      <w:rFonts w:ascii="Times New Roman" w:hAnsi="Times New Roman"/>
      <w:color w:val="auto"/>
      <w:szCs w:val="20"/>
    </w:rPr>
  </w:style>
  <w:style w:type="paragraph" w:styleId="8">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9">
    <w:name w:val="Body Text Indent"/>
    <w:basedOn w:val="1"/>
    <w:next w:val="1"/>
    <w:unhideWhenUsed/>
    <w:qFormat/>
    <w:uiPriority w:val="99"/>
    <w:pPr>
      <w:widowControl w:val="0"/>
      <w:ind w:firstLine="372"/>
      <w:jc w:val="both"/>
    </w:pPr>
    <w:rPr>
      <w:rFonts w:ascii="Calibri" w:hAnsi="Calibri" w:eastAsia="宋体" w:cs="Times New Roman"/>
      <w:kern w:val="0"/>
      <w:sz w:val="24"/>
      <w:lang w:val="en-US" w:eastAsia="zh-CN" w:bidi="ar-SA"/>
    </w:rPr>
  </w:style>
  <w:style w:type="paragraph" w:styleId="10">
    <w:name w:val="toc 5"/>
    <w:basedOn w:val="1"/>
    <w:next w:val="1"/>
    <w:qFormat/>
    <w:uiPriority w:val="39"/>
    <w:pPr>
      <w:ind w:left="1680"/>
    </w:pPr>
  </w:style>
  <w:style w:type="paragraph" w:styleId="11">
    <w:name w:val="footer"/>
    <w:basedOn w:val="1"/>
    <w:qFormat/>
    <w:uiPriority w:val="99"/>
    <w:pPr>
      <w:widowControl w:val="0"/>
      <w:tabs>
        <w:tab w:val="center" w:pos="4153"/>
        <w:tab w:val="right" w:pos="8306"/>
      </w:tabs>
      <w:snapToGrid w:val="0"/>
      <w:jc w:val="left"/>
    </w:pPr>
    <w:rPr>
      <w:rFonts w:ascii="Times New Roman" w:hAnsi="Times New Roman" w:eastAsia="宋体" w:cs="Times New Roman"/>
      <w:kern w:val="0"/>
      <w:sz w:val="18"/>
      <w:lang w:val="en-US" w:eastAsia="zh-CN" w:bidi="ar-SA"/>
    </w:rPr>
  </w:style>
  <w:style w:type="paragraph" w:styleId="12">
    <w:name w:val="header"/>
    <w:qFormat/>
    <w:uiPriority w:val="99"/>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Times New Roman" w:hAnsi="Times New Roman" w:eastAsia="宋体" w:cs="Times New Roman"/>
      <w:kern w:val="0"/>
      <w:sz w:val="18"/>
      <w:lang w:val="en-US" w:eastAsia="zh-CN" w:bidi="ar-SA"/>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rPr>
  </w:style>
  <w:style w:type="table" w:styleId="1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方案正文"/>
    <w:basedOn w:val="1"/>
    <w:qFormat/>
    <w:uiPriority w:val="0"/>
    <w:pPr>
      <w:spacing w:beforeLines="50" w:afterLines="50" w:line="360" w:lineRule="auto"/>
      <w:ind w:firstLine="200" w:firstLineChars="200"/>
    </w:pPr>
    <w:rPr>
      <w:rFonts w:ascii="仿宋_GB2312" w:hAnsi="Calibri"/>
      <w:szCs w:val="22"/>
    </w:rPr>
  </w:style>
  <w:style w:type="character" w:customStyle="1" w:styleId="21">
    <w:name w:val="黑体 Char Char"/>
    <w:basedOn w:val="18"/>
    <w:link w:val="22"/>
    <w:qFormat/>
    <w:uiPriority w:val="0"/>
    <w:rPr>
      <w:rFonts w:ascii="黑体" w:hAnsi="黑体" w:eastAsia="黑体"/>
    </w:rPr>
  </w:style>
  <w:style w:type="paragraph" w:customStyle="1" w:styleId="22">
    <w:name w:val="黑体"/>
    <w:basedOn w:val="1"/>
    <w:link w:val="21"/>
    <w:qFormat/>
    <w:uiPriority w:val="0"/>
    <w:pPr>
      <w:snapToGrid w:val="0"/>
      <w:spacing w:line="360" w:lineRule="exact"/>
    </w:pPr>
    <w:rPr>
      <w:rFonts w:ascii="黑体" w:hAnsi="黑体" w:eastAsia="黑体"/>
    </w:rPr>
  </w:style>
  <w:style w:type="paragraph" w:customStyle="1" w:styleId="23">
    <w:name w:val="_Style 13"/>
    <w:qFormat/>
    <w:uiPriority w:val="0"/>
    <w:pPr>
      <w:spacing w:before="120" w:after="120" w:line="288" w:lineRule="auto"/>
      <w:ind w:left="0"/>
      <w:jc w:val="left"/>
    </w:pPr>
    <w:rPr>
      <w:rFonts w:ascii="Arial" w:hAnsi="Arial" w:eastAsia="等线" w:cs="Arial"/>
      <w:sz w:val="22"/>
      <w:szCs w:val="22"/>
    </w:rPr>
  </w:style>
  <w:style w:type="table" w:customStyle="1" w:styleId="24">
    <w:name w:val="Table Normal"/>
    <w:qFormat/>
    <w:uiPriority w:val="2"/>
    <w:tblPr>
      <w:tblCellMar>
        <w:top w:w="0" w:type="dxa"/>
        <w:left w:w="0" w:type="dxa"/>
        <w:bottom w:w="0" w:type="dxa"/>
        <w:right w:w="0" w:type="dxa"/>
      </w:tblCellMar>
    </w:tblPr>
  </w:style>
  <w:style w:type="paragraph" w:customStyle="1" w:styleId="25">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Words>17869</Words>
  <Characters>19771</Characters>
  <Paragraphs>300</Paragraphs>
  <TotalTime>0</TotalTime>
  <ScaleCrop>false</ScaleCrop>
  <LinksUpToDate>false</LinksUpToDate>
  <CharactersWithSpaces>21648</CharactersWithSpaces>
  <Application>WPS Office WWO_wpscloud_20240305111834-b523323eda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2025-04-11T19:02:00Z</dcterms:created>
  <dc:creator>Administrator</dc:creator>
  <cp:lastModifiedBy>greatwall</cp:lastModifiedBy>
  <cp:lastPrinted>2025-09-11T06:57:00Z</cp:lastPrinted>
  <dcterms:modified xsi:type="dcterms:W3CDTF">2025-09-29T15:26:24Z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eyJoZGlkIjoiZWI1NDY1YzBmZTUyMjkwZjM1NWNlNzNhOGYwOThlNzMiLCJ1c2VySWQiOiIyMzQ5MzkzODMifQ==</vt:lpwstr>
  </property>
  <property fmtid="{D5CDD505-2E9C-101B-9397-08002B2CF9AE}" pid="4" name="ICV">
    <vt:lpwstr>36F77F3F88D4D78C804B8068210A0CB1</vt:lpwstr>
  </property>
</Properties>
</file>