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outlineLvl w:val="0"/>
        <w:rPr>
          <w:rFonts w:hint="eastAsia" w:ascii="黑体" w:hAnsi="黑体" w:eastAsia="黑体" w:cs="黑体"/>
          <w:color w:val="auto"/>
          <w:sz w:val="32"/>
          <w:szCs w:val="32"/>
          <w:highlight w:val="none"/>
          <w:lang w:val="en-US" w:eastAsia="zh-CN"/>
        </w:rPr>
      </w:pPr>
      <w:bookmarkStart w:id="0" w:name="_Toc29911"/>
      <w:bookmarkStart w:id="1" w:name="_Toc4975"/>
      <w:bookmarkStart w:id="2" w:name="_Toc9900"/>
      <w:r>
        <w:rPr>
          <w:rFonts w:hint="eastAsia" w:ascii="黑体" w:hAnsi="黑体" w:eastAsia="黑体" w:cs="黑体"/>
          <w:color w:val="auto"/>
          <w:sz w:val="32"/>
          <w:szCs w:val="32"/>
          <w:highlight w:val="none"/>
          <w:lang w:val="en-US" w:eastAsia="zh-CN"/>
        </w:rPr>
        <w:t>附件</w:t>
      </w:r>
    </w:p>
    <w:p>
      <w:pPr>
        <w:pStyle w:val="2"/>
        <w:rPr>
          <w:rFonts w:hint="eastAsia"/>
          <w:color w:val="auto"/>
          <w:highlight w:val="none"/>
          <w:lang w:val="en-US" w:eastAsia="zh-CN"/>
        </w:rPr>
      </w:pPr>
    </w:p>
    <w:p>
      <w:pPr>
        <w:jc w:val="center"/>
        <w:outlineLvl w:val="0"/>
        <w:rPr>
          <w:rFonts w:hint="eastAsia" w:ascii="方正大标宋_GBK" w:hAnsi="方正大标宋_GBK" w:eastAsia="方正大标宋_GBK" w:cs="方正大标宋_GBK"/>
          <w:color w:val="auto"/>
          <w:sz w:val="84"/>
          <w:szCs w:val="84"/>
          <w:highlight w:val="none"/>
        </w:rPr>
      </w:pPr>
      <w:r>
        <w:rPr>
          <w:rFonts w:hint="eastAsia" w:ascii="方正大标宋_GBK" w:hAnsi="方正大标宋_GBK" w:eastAsia="方正大标宋_GBK" w:cs="方正大标宋_GBK"/>
          <w:color w:val="auto"/>
          <w:sz w:val="84"/>
          <w:szCs w:val="84"/>
          <w:highlight w:val="none"/>
        </w:rPr>
        <w:t>海南省高新技术产业</w:t>
      </w:r>
      <w:bookmarkEnd w:id="0"/>
      <w:bookmarkEnd w:id="1"/>
      <w:bookmarkEnd w:id="2"/>
    </w:p>
    <w:p>
      <w:pPr>
        <w:jc w:val="center"/>
        <w:outlineLvl w:val="0"/>
        <w:rPr>
          <w:rFonts w:hint="eastAsia" w:ascii="方正大标宋_GBK" w:hAnsi="方正大标宋_GBK" w:eastAsia="方正大标宋_GBK" w:cs="方正大标宋_GBK"/>
          <w:color w:val="auto"/>
          <w:sz w:val="84"/>
          <w:szCs w:val="84"/>
          <w:highlight w:val="none"/>
        </w:rPr>
      </w:pPr>
      <w:bookmarkStart w:id="3" w:name="_Toc1093"/>
      <w:bookmarkStart w:id="4" w:name="_Toc4308"/>
      <w:bookmarkStart w:id="5" w:name="_Toc65"/>
      <w:r>
        <w:rPr>
          <w:rFonts w:hint="eastAsia" w:ascii="方正大标宋_GBK" w:hAnsi="方正大标宋_GBK" w:eastAsia="方正大标宋_GBK" w:cs="方正大标宋_GBK"/>
          <w:color w:val="auto"/>
          <w:sz w:val="84"/>
          <w:szCs w:val="84"/>
          <w:highlight w:val="none"/>
        </w:rPr>
        <w:t>统计监测制度</w:t>
      </w:r>
      <w:bookmarkEnd w:id="3"/>
      <w:bookmarkEnd w:id="4"/>
      <w:bookmarkEnd w:id="5"/>
    </w:p>
    <w:p>
      <w:pPr>
        <w:jc w:val="center"/>
        <w:rPr>
          <w:rFonts w:hint="eastAsia" w:ascii="楷体_GB2312" w:hAnsi="宋体" w:eastAsia="楷体_GB2312"/>
          <w:color w:val="auto"/>
          <w:sz w:val="40"/>
          <w:szCs w:val="32"/>
          <w:highlight w:val="none"/>
          <w:lang w:val="en-US" w:eastAsia="zh-CN"/>
        </w:rPr>
      </w:pPr>
    </w:p>
    <w:p>
      <w:pPr>
        <w:pStyle w:val="21"/>
        <w:rPr>
          <w:color w:val="auto"/>
          <w:highlight w:val="none"/>
        </w:rPr>
      </w:pPr>
    </w:p>
    <w:p>
      <w:pPr>
        <w:jc w:val="center"/>
        <w:rPr>
          <w:rFonts w:ascii="宋体"/>
          <w:color w:val="auto"/>
          <w:sz w:val="32"/>
          <w:highlight w:val="none"/>
        </w:rPr>
      </w:pPr>
    </w:p>
    <w:p>
      <w:pPr>
        <w:jc w:val="center"/>
        <w:rPr>
          <w:rFonts w:ascii="宋体"/>
          <w:color w:val="auto"/>
          <w:sz w:val="32"/>
          <w:highlight w:val="none"/>
        </w:rPr>
      </w:pPr>
    </w:p>
    <w:p>
      <w:pPr>
        <w:jc w:val="center"/>
        <w:rPr>
          <w:rFonts w:ascii="宋体"/>
          <w:color w:val="auto"/>
          <w:sz w:val="32"/>
          <w:highlight w:val="none"/>
        </w:rPr>
      </w:pPr>
    </w:p>
    <w:p>
      <w:pPr>
        <w:jc w:val="center"/>
        <w:rPr>
          <w:rFonts w:ascii="宋体"/>
          <w:color w:val="auto"/>
          <w:sz w:val="32"/>
          <w:highlight w:val="none"/>
        </w:rPr>
      </w:pPr>
    </w:p>
    <w:p>
      <w:pPr>
        <w:jc w:val="center"/>
        <w:rPr>
          <w:rFonts w:ascii="宋体"/>
          <w:color w:val="auto"/>
          <w:sz w:val="32"/>
          <w:highlight w:val="none"/>
        </w:rPr>
      </w:pPr>
    </w:p>
    <w:p>
      <w:pPr>
        <w:pStyle w:val="2"/>
        <w:rPr>
          <w:rFonts w:ascii="宋体"/>
          <w:color w:val="auto"/>
          <w:sz w:val="32"/>
          <w:highlight w:val="none"/>
        </w:rPr>
      </w:pPr>
    </w:p>
    <w:p>
      <w:pPr>
        <w:rPr>
          <w:rFonts w:ascii="宋体"/>
          <w:color w:val="auto"/>
          <w:sz w:val="32"/>
          <w:highlight w:val="none"/>
        </w:rPr>
      </w:pPr>
    </w:p>
    <w:p>
      <w:pPr>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tbl>
      <w:tblPr>
        <w:tblStyle w:val="17"/>
        <w:tblW w:w="0" w:type="auto"/>
        <w:tblInd w:w="25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46"/>
        <w:gridCol w:w="8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46" w:type="dxa"/>
          </w:tcPr>
          <w:p>
            <w:pPr>
              <w:spacing w:line="600" w:lineRule="exact"/>
              <w:jc w:val="center"/>
              <w:outlineLvl w:val="9"/>
              <w:rPr>
                <w:rFonts w:hint="eastAsia" w:ascii="楷体_GB2312" w:hAnsi="宋体" w:eastAsia="楷体_GB2312"/>
                <w:color w:val="auto"/>
                <w:sz w:val="32"/>
                <w:highlight w:val="none"/>
                <w:vertAlign w:val="baseline"/>
              </w:rPr>
            </w:pPr>
            <w:r>
              <w:rPr>
                <w:rFonts w:hint="eastAsia" w:ascii="楷体_GB2312" w:hAnsi="宋体" w:eastAsia="楷体_GB2312"/>
                <w:color w:val="auto"/>
                <w:sz w:val="32"/>
                <w:highlight w:val="none"/>
              </w:rPr>
              <w:t>海南省工业和信息化厅</w:t>
            </w:r>
          </w:p>
        </w:tc>
        <w:tc>
          <w:tcPr>
            <w:tcW w:w="859" w:type="dxa"/>
            <w:vMerge w:val="restart"/>
            <w:vAlign w:val="center"/>
          </w:tcPr>
          <w:p>
            <w:pPr>
              <w:spacing w:line="600" w:lineRule="exact"/>
              <w:jc w:val="center"/>
              <w:outlineLvl w:val="9"/>
              <w:rPr>
                <w:rFonts w:hint="eastAsia" w:ascii="楷体_GB2312" w:hAnsi="宋体" w:eastAsia="楷体_GB2312"/>
                <w:color w:val="auto"/>
                <w:sz w:val="32"/>
                <w:highlight w:val="none"/>
                <w:vertAlign w:val="baseline"/>
                <w:lang w:eastAsia="zh-CN"/>
              </w:rPr>
            </w:pPr>
            <w:r>
              <w:rPr>
                <w:rFonts w:hint="eastAsia" w:ascii="楷体_GB2312" w:hAnsi="宋体" w:eastAsia="楷体_GB2312"/>
                <w:color w:val="auto"/>
                <w:sz w:val="32"/>
                <w:highlight w:val="none"/>
                <w:vertAlign w:val="baseline"/>
                <w:lang w:eastAsia="zh-CN"/>
              </w:rPr>
              <w:t>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46" w:type="dxa"/>
          </w:tcPr>
          <w:p>
            <w:pPr>
              <w:spacing w:line="600" w:lineRule="exact"/>
              <w:ind w:firstLine="320" w:firstLineChars="100"/>
              <w:jc w:val="both"/>
              <w:outlineLvl w:val="9"/>
              <w:rPr>
                <w:rFonts w:hint="eastAsia" w:ascii="楷体_GB2312" w:hAnsi="宋体" w:eastAsia="楷体_GB2312"/>
                <w:color w:val="auto"/>
                <w:sz w:val="32"/>
                <w:highlight w:val="none"/>
                <w:vertAlign w:val="baseline"/>
                <w:lang w:eastAsia="zh-CN"/>
              </w:rPr>
            </w:pPr>
            <w:r>
              <w:rPr>
                <w:rFonts w:hint="eastAsia" w:ascii="楷体_GB2312" w:hAnsi="宋体" w:eastAsia="楷体_GB2312"/>
                <w:color w:val="auto"/>
                <w:sz w:val="32"/>
                <w:highlight w:val="none"/>
                <w:vertAlign w:val="baseline"/>
                <w:lang w:eastAsia="zh-CN"/>
              </w:rPr>
              <w:t>海南省科学技术厅</w:t>
            </w:r>
          </w:p>
        </w:tc>
        <w:tc>
          <w:tcPr>
            <w:tcW w:w="859" w:type="dxa"/>
            <w:vMerge w:val="continue"/>
          </w:tcPr>
          <w:p>
            <w:pPr>
              <w:spacing w:line="600" w:lineRule="exact"/>
              <w:jc w:val="center"/>
              <w:outlineLvl w:val="9"/>
              <w:rPr>
                <w:rFonts w:hint="eastAsia" w:ascii="楷体_GB2312" w:hAnsi="宋体" w:eastAsia="楷体_GB2312"/>
                <w:color w:val="auto"/>
                <w:sz w:val="32"/>
                <w:highlight w:val="none"/>
                <w:vertAlign w:val="baseline"/>
              </w:rPr>
            </w:pPr>
          </w:p>
        </w:tc>
      </w:tr>
    </w:tbl>
    <w:p>
      <w:pPr>
        <w:spacing w:line="600" w:lineRule="exact"/>
        <w:ind w:firstLine="3200" w:firstLineChars="1000"/>
        <w:jc w:val="both"/>
        <w:rPr>
          <w:rFonts w:ascii="楷体_GB2312" w:hAnsi="宋体" w:eastAsia="楷体_GB2312"/>
          <w:color w:val="auto"/>
          <w:sz w:val="32"/>
          <w:highlight w:val="none"/>
        </w:rPr>
      </w:pPr>
      <w:r>
        <w:rPr>
          <w:rFonts w:ascii="楷体_GB2312" w:hAnsi="宋体" w:eastAsia="楷体_GB2312"/>
          <w:color w:val="auto"/>
          <w:sz w:val="32"/>
          <w:highlight w:val="none"/>
        </w:rPr>
        <w:t>20</w:t>
      </w:r>
      <w:r>
        <w:rPr>
          <w:rFonts w:hint="eastAsia" w:ascii="楷体_GB2312" w:hAnsi="宋体" w:eastAsia="楷体_GB2312"/>
          <w:color w:val="auto"/>
          <w:sz w:val="32"/>
          <w:highlight w:val="none"/>
        </w:rPr>
        <w:t>2</w:t>
      </w:r>
      <w:r>
        <w:rPr>
          <w:rFonts w:hint="eastAsia" w:ascii="楷体_GB2312" w:hAnsi="宋体" w:eastAsia="楷体_GB2312"/>
          <w:color w:val="auto"/>
          <w:sz w:val="32"/>
          <w:highlight w:val="none"/>
          <w:lang w:val="en-US" w:eastAsia="zh-CN"/>
        </w:rPr>
        <w:t>5</w:t>
      </w:r>
      <w:r>
        <w:rPr>
          <w:rFonts w:hint="eastAsia" w:ascii="楷体_GB2312" w:hAnsi="宋体" w:eastAsia="楷体_GB2312"/>
          <w:color w:val="auto"/>
          <w:sz w:val="32"/>
          <w:highlight w:val="none"/>
        </w:rPr>
        <w:t>年</w:t>
      </w:r>
      <w:r>
        <w:rPr>
          <w:rFonts w:hint="eastAsia" w:ascii="楷体_GB2312" w:hAnsi="宋体" w:eastAsia="楷体_GB2312"/>
          <w:color w:val="auto"/>
          <w:sz w:val="32"/>
          <w:highlight w:val="none"/>
          <w:lang w:val="en-US" w:eastAsia="zh-CN"/>
        </w:rPr>
        <w:t>12</w:t>
      </w:r>
      <w:r>
        <w:rPr>
          <w:rFonts w:hint="eastAsia" w:ascii="楷体_GB2312" w:hAnsi="宋体" w:eastAsia="楷体_GB2312"/>
          <w:color w:val="auto"/>
          <w:sz w:val="32"/>
          <w:highlight w:val="none"/>
        </w:rPr>
        <w:t>月</w:t>
      </w:r>
    </w:p>
    <w:p>
      <w:pPr>
        <w:snapToGrid w:val="0"/>
        <w:spacing w:before="960" w:beforeLines="400" w:after="480" w:afterLines="200"/>
        <w:jc w:val="center"/>
        <w:rPr>
          <w:rFonts w:hint="eastAsia" w:eastAsia="黑体"/>
          <w:color w:val="auto"/>
          <w:sz w:val="32"/>
          <w:highlight w:val="none"/>
        </w:rPr>
        <w:sectPr>
          <w:headerReference r:id="rId4" w:type="default"/>
          <w:footerReference r:id="rId5" w:type="default"/>
          <w:pgSz w:w="11850" w:h="16783"/>
          <w:pgMar w:top="2098" w:right="1474" w:bottom="1984" w:left="1587" w:header="851" w:footer="850" w:gutter="0"/>
          <w:pgBorders>
            <w:top w:val="none" w:sz="0" w:space="0"/>
            <w:left w:val="none" w:sz="0" w:space="0"/>
            <w:bottom w:val="none" w:sz="0" w:space="0"/>
            <w:right w:val="none" w:sz="0" w:space="0"/>
          </w:pgBorders>
          <w:pgNumType w:fmt="decimal" w:start="1"/>
          <w:cols w:space="0" w:num="1"/>
          <w:rtlGutter w:val="0"/>
          <w:docGrid w:linePitch="312" w:charSpace="0"/>
        </w:sectPr>
      </w:pPr>
    </w:p>
    <w:p>
      <w:pPr>
        <w:snapToGrid w:val="0"/>
        <w:spacing w:before="960" w:beforeLines="400" w:after="480" w:afterLines="200"/>
        <w:jc w:val="center"/>
        <w:rPr>
          <w:rFonts w:hint="eastAsia" w:eastAsia="黑体"/>
          <w:color w:val="auto"/>
          <w:sz w:val="32"/>
          <w:highlight w:val="none"/>
        </w:rPr>
      </w:pPr>
      <w:r>
        <w:rPr>
          <w:rFonts w:hint="eastAsia" w:ascii="方正小标宋_GBK" w:hAnsi="方正小标宋_GBK" w:eastAsia="方正小标宋_GBK" w:cs="方正小标宋_GBK"/>
          <w:color w:val="auto"/>
          <w:sz w:val="32"/>
          <w:highlight w:val="none"/>
        </w:rPr>
        <w:t>本制度根据《中华人民共和国统计法》有关规定制定</w:t>
      </w:r>
    </w:p>
    <w:p>
      <w:pPr>
        <w:pStyle w:val="21"/>
        <w:rPr>
          <w:rFonts w:hint="eastAsia" w:eastAsia="黑体"/>
          <w:color w:val="auto"/>
          <w:sz w:val="32"/>
          <w:highlight w:val="none"/>
        </w:rPr>
      </w:pPr>
    </w:p>
    <w:p>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《中华人民共和国统计法》第八条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　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ind w:firstLine="560" w:firstLineChars="200"/>
        <w:rPr>
          <w:rFonts w:hint="eastAsia" w:ascii="仿宋_GB2312" w:hAnsi="仿宋_GB2312" w:eastAsia="仿宋_GB2312" w:cs="仿宋_GB2312"/>
          <w:color w:val="auto"/>
          <w:sz w:val="28"/>
          <w:szCs w:val="28"/>
          <w:highlight w:val="none"/>
        </w:rPr>
      </w:pPr>
    </w:p>
    <w:p>
      <w:pPr>
        <w:ind w:firstLine="560" w:firstLineChars="200"/>
        <w:rPr>
          <w:rFonts w:hint="eastAsia" w:ascii="仿宋_GB2312" w:hAnsi="仿宋_GB2312" w:eastAsia="仿宋_GB2312" w:cs="仿宋_GB2312"/>
          <w:color w:val="auto"/>
          <w:sz w:val="28"/>
          <w:szCs w:val="28"/>
          <w:highlight w:val="none"/>
        </w:rPr>
      </w:pPr>
    </w:p>
    <w:p>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第十一条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　统计机构和统计人员对在统计工作中知悉的国家秘密、工作秘密、商业秘密、个人隐私和个人信息，应当予以保密，不得泄露或者向他人非法提供。</w:t>
      </w:r>
    </w:p>
    <w:p>
      <w:pPr>
        <w:ind w:firstLine="560" w:firstLineChars="200"/>
        <w:rPr>
          <w:rFonts w:hint="eastAsia" w:ascii="仿宋_GB2312" w:hAnsi="仿宋_GB2312" w:eastAsia="仿宋_GB2312" w:cs="仿宋_GB2312"/>
          <w:color w:val="auto"/>
          <w:sz w:val="28"/>
          <w:szCs w:val="28"/>
          <w:highlight w:val="none"/>
        </w:rPr>
      </w:pPr>
    </w:p>
    <w:p>
      <w:pPr>
        <w:ind w:firstLine="560" w:firstLineChars="200"/>
        <w:rPr>
          <w:rFonts w:hint="eastAsia" w:ascii="仿宋_GB2312" w:hAnsi="仿宋_GB2312" w:eastAsia="仿宋_GB2312" w:cs="仿宋_GB2312"/>
          <w:color w:val="auto"/>
          <w:sz w:val="28"/>
          <w:szCs w:val="28"/>
          <w:highlight w:val="none"/>
        </w:rPr>
      </w:pPr>
    </w:p>
    <w:p>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第二十八条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　统计调查中获得的能够识别或者推断单个统计调查对象身份的资料，任何单位和个人不得对外提供、泄露，不得用于统计以外的目的。</w:t>
      </w: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jc w:val="center"/>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pStyle w:val="21"/>
        <w:rPr>
          <w:rFonts w:hint="eastAsia" w:eastAsia="黑体"/>
          <w:color w:val="auto"/>
          <w:sz w:val="32"/>
          <w:highlight w:val="none"/>
        </w:rPr>
      </w:pPr>
    </w:p>
    <w:p>
      <w:pPr>
        <w:snapToGrid w:val="0"/>
        <w:spacing w:before="960" w:beforeLines="400" w:after="480" w:afterLines="200"/>
        <w:jc w:val="center"/>
        <w:rPr>
          <w:rFonts w:eastAsia="黑体"/>
          <w:color w:val="auto"/>
          <w:sz w:val="32"/>
          <w:highlight w:val="none"/>
        </w:rPr>
      </w:pPr>
    </w:p>
    <w:p>
      <w:pPr>
        <w:snapToGrid w:val="0"/>
        <w:spacing w:before="960" w:beforeLines="400" w:after="480" w:afterLines="200"/>
        <w:jc w:val="center"/>
        <w:rPr>
          <w:rFonts w:eastAsia="黑体"/>
          <w:color w:val="auto"/>
          <w:sz w:val="32"/>
          <w:highlight w:val="none"/>
        </w:rPr>
      </w:pPr>
    </w:p>
    <w:p>
      <w:pPr>
        <w:snapToGrid w:val="0"/>
        <w:spacing w:before="960" w:beforeLines="400" w:after="480" w:afterLines="200"/>
        <w:jc w:val="center"/>
        <w:rPr>
          <w:rFonts w:eastAsia="黑体"/>
          <w:color w:val="auto"/>
          <w:sz w:val="32"/>
          <w:highlight w:val="none"/>
        </w:rPr>
        <w:sectPr>
          <w:headerReference r:id="rId6" w:type="default"/>
          <w:footerReference r:id="rId7" w:type="default"/>
          <w:pgSz w:w="11850" w:h="16783"/>
          <w:pgMar w:top="1247" w:right="1247" w:bottom="1247" w:left="1247" w:header="851" w:footer="850" w:gutter="0"/>
          <w:pgBorders>
            <w:top w:val="none" w:sz="0" w:space="0"/>
            <w:left w:val="none" w:sz="0" w:space="0"/>
            <w:bottom w:val="none" w:sz="0" w:space="0"/>
            <w:right w:val="none" w:sz="0" w:space="0"/>
          </w:pgBorders>
          <w:pgNumType w:fmt="decimal" w:start="1"/>
          <w:cols w:space="720" w:num="1"/>
          <w:docGrid w:linePitch="312" w:charSpace="0"/>
        </w:sectPr>
      </w:pPr>
    </w:p>
    <w:p>
      <w:pPr>
        <w:snapToGrid w:val="0"/>
        <w:spacing w:before="960" w:beforeLines="400" w:after="480" w:afterLines="200"/>
        <w:jc w:val="center"/>
        <w:rPr>
          <w:color w:val="auto"/>
          <w:sz w:val="32"/>
          <w:szCs w:val="32"/>
          <w:highlight w:val="none"/>
        </w:rPr>
      </w:pPr>
      <w:r>
        <w:rPr>
          <w:rFonts w:eastAsia="黑体"/>
          <w:color w:val="auto"/>
          <w:sz w:val="32"/>
          <w:szCs w:val="32"/>
          <w:highlight w:val="none"/>
        </w:rPr>
        <w:t>目     录</w:t>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TOC \o "1-2" \h \u </w:instrText>
      </w:r>
      <w:r>
        <w:rPr>
          <w:color w:val="auto"/>
          <w:sz w:val="32"/>
          <w:szCs w:val="32"/>
          <w:highlight w:val="none"/>
        </w:rPr>
        <w:fldChar w:fldCharType="separate"/>
      </w:r>
      <w:r>
        <w:rPr>
          <w:color w:val="auto"/>
          <w:sz w:val="32"/>
          <w:szCs w:val="32"/>
          <w:highlight w:val="none"/>
        </w:rPr>
        <w:fldChar w:fldCharType="begin"/>
      </w:r>
      <w:r>
        <w:rPr>
          <w:color w:val="auto"/>
          <w:sz w:val="32"/>
          <w:szCs w:val="32"/>
          <w:highlight w:val="none"/>
        </w:rPr>
        <w:instrText xml:space="preserve"> HYPERLINK \l _Toc9900 </w:instrText>
      </w:r>
      <w:r>
        <w:rPr>
          <w:color w:val="auto"/>
          <w:sz w:val="32"/>
          <w:szCs w:val="32"/>
          <w:highlight w:val="none"/>
        </w:rPr>
        <w:fldChar w:fldCharType="separate"/>
      </w:r>
      <w:r>
        <w:rPr>
          <w:rFonts w:hint="eastAsia" w:ascii="宋体" w:hAnsi="宋体"/>
          <w:color w:val="auto"/>
          <w:sz w:val="32"/>
          <w:szCs w:val="32"/>
          <w:highlight w:val="none"/>
        </w:rPr>
        <w:t>海南省高新技术产业</w:t>
      </w:r>
      <w:r>
        <w:rPr>
          <w:color w:val="auto"/>
          <w:sz w:val="32"/>
          <w:szCs w:val="32"/>
          <w:highlight w:val="none"/>
        </w:rPr>
        <w:fldChar w:fldCharType="end"/>
      </w:r>
      <w:r>
        <w:rPr>
          <w:color w:val="auto"/>
          <w:sz w:val="32"/>
          <w:szCs w:val="32"/>
          <w:highlight w:val="none"/>
        </w:rPr>
        <w:fldChar w:fldCharType="begin"/>
      </w:r>
      <w:r>
        <w:rPr>
          <w:color w:val="auto"/>
          <w:sz w:val="32"/>
          <w:szCs w:val="32"/>
          <w:highlight w:val="none"/>
        </w:rPr>
        <w:instrText xml:space="preserve"> HYPERLINK \l _Toc65 </w:instrText>
      </w:r>
      <w:r>
        <w:rPr>
          <w:color w:val="auto"/>
          <w:sz w:val="32"/>
          <w:szCs w:val="32"/>
          <w:highlight w:val="none"/>
        </w:rPr>
        <w:fldChar w:fldCharType="separate"/>
      </w:r>
      <w:r>
        <w:rPr>
          <w:rFonts w:hint="eastAsia" w:ascii="宋体" w:hAnsi="宋体"/>
          <w:color w:val="auto"/>
          <w:sz w:val="32"/>
          <w:szCs w:val="32"/>
          <w:highlight w:val="none"/>
        </w:rPr>
        <w:t>统计监测制度</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_Toc65 \h </w:instrText>
      </w:r>
      <w:r>
        <w:rPr>
          <w:color w:val="auto"/>
          <w:sz w:val="32"/>
          <w:szCs w:val="32"/>
          <w:highlight w:val="none"/>
        </w:rPr>
        <w:fldChar w:fldCharType="separate"/>
      </w:r>
      <w:r>
        <w:rPr>
          <w:color w:val="auto"/>
          <w:sz w:val="32"/>
          <w:szCs w:val="32"/>
          <w:highlight w:val="none"/>
        </w:rPr>
        <w:t>1</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_Toc16114 </w:instrText>
      </w:r>
      <w:r>
        <w:rPr>
          <w:color w:val="auto"/>
          <w:sz w:val="32"/>
          <w:szCs w:val="32"/>
          <w:highlight w:val="none"/>
        </w:rPr>
        <w:fldChar w:fldCharType="separate"/>
      </w:r>
      <w:r>
        <w:rPr>
          <w:rFonts w:hint="eastAsia" w:eastAsia="黑体"/>
          <w:color w:val="auto"/>
          <w:sz w:val="32"/>
          <w:szCs w:val="32"/>
          <w:highlight w:val="none"/>
        </w:rPr>
        <w:t>一、总</w:t>
      </w:r>
      <w:r>
        <w:rPr>
          <w:rFonts w:eastAsia="黑体"/>
          <w:color w:val="auto"/>
          <w:sz w:val="32"/>
          <w:szCs w:val="32"/>
          <w:highlight w:val="none"/>
        </w:rPr>
        <w:t xml:space="preserve">  </w:t>
      </w:r>
      <w:r>
        <w:rPr>
          <w:rFonts w:hint="eastAsia" w:eastAsia="黑体"/>
          <w:color w:val="auto"/>
          <w:sz w:val="32"/>
          <w:szCs w:val="32"/>
          <w:highlight w:val="none"/>
        </w:rPr>
        <w:t>说</w:t>
      </w:r>
      <w:r>
        <w:rPr>
          <w:rFonts w:eastAsia="黑体"/>
          <w:color w:val="auto"/>
          <w:sz w:val="32"/>
          <w:szCs w:val="32"/>
          <w:highlight w:val="none"/>
        </w:rPr>
        <w:t xml:space="preserve">  </w:t>
      </w:r>
      <w:r>
        <w:rPr>
          <w:rFonts w:hint="eastAsia" w:eastAsia="黑体"/>
          <w:color w:val="auto"/>
          <w:sz w:val="32"/>
          <w:szCs w:val="32"/>
          <w:highlight w:val="none"/>
        </w:rPr>
        <w:t>明</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_Toc16114 \h </w:instrText>
      </w:r>
      <w:r>
        <w:rPr>
          <w:color w:val="auto"/>
          <w:sz w:val="32"/>
          <w:szCs w:val="32"/>
          <w:highlight w:val="none"/>
        </w:rPr>
        <w:fldChar w:fldCharType="separate"/>
      </w:r>
      <w:r>
        <w:rPr>
          <w:color w:val="auto"/>
          <w:sz w:val="32"/>
          <w:szCs w:val="32"/>
          <w:highlight w:val="none"/>
        </w:rPr>
        <w:t>1</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_Toc5312 </w:instrText>
      </w:r>
      <w:r>
        <w:rPr>
          <w:color w:val="auto"/>
          <w:sz w:val="32"/>
          <w:szCs w:val="32"/>
          <w:highlight w:val="none"/>
        </w:rPr>
        <w:fldChar w:fldCharType="separate"/>
      </w:r>
      <w:r>
        <w:rPr>
          <w:rFonts w:hint="eastAsia" w:ascii="Calibri" w:eastAsia="黑体" w:cs="Times New Roman"/>
          <w:color w:val="auto"/>
          <w:sz w:val="32"/>
          <w:szCs w:val="32"/>
          <w:highlight w:val="none"/>
        </w:rPr>
        <w:t>二、</w:t>
      </w:r>
      <w:r>
        <w:rPr>
          <w:rFonts w:hint="eastAsia" w:eastAsia="黑体"/>
          <w:color w:val="auto"/>
          <w:sz w:val="32"/>
          <w:szCs w:val="32"/>
          <w:highlight w:val="none"/>
        </w:rPr>
        <w:t>报</w:t>
      </w:r>
      <w:r>
        <w:rPr>
          <w:rFonts w:eastAsia="黑体"/>
          <w:color w:val="auto"/>
          <w:sz w:val="32"/>
          <w:szCs w:val="32"/>
          <w:highlight w:val="none"/>
        </w:rPr>
        <w:t xml:space="preserve"> </w:t>
      </w:r>
      <w:r>
        <w:rPr>
          <w:rFonts w:hint="eastAsia" w:eastAsia="黑体"/>
          <w:color w:val="auto"/>
          <w:sz w:val="32"/>
          <w:szCs w:val="32"/>
          <w:highlight w:val="none"/>
        </w:rPr>
        <w:t>表</w:t>
      </w:r>
      <w:r>
        <w:rPr>
          <w:rFonts w:eastAsia="黑体"/>
          <w:color w:val="auto"/>
          <w:sz w:val="32"/>
          <w:szCs w:val="32"/>
          <w:highlight w:val="none"/>
        </w:rPr>
        <w:t xml:space="preserve"> </w:t>
      </w:r>
      <w:r>
        <w:rPr>
          <w:rFonts w:hint="eastAsia" w:eastAsia="黑体"/>
          <w:color w:val="auto"/>
          <w:sz w:val="32"/>
          <w:szCs w:val="32"/>
          <w:highlight w:val="none"/>
        </w:rPr>
        <w:t>目</w:t>
      </w:r>
      <w:r>
        <w:rPr>
          <w:rFonts w:eastAsia="黑体"/>
          <w:color w:val="auto"/>
          <w:sz w:val="32"/>
          <w:szCs w:val="32"/>
          <w:highlight w:val="none"/>
        </w:rPr>
        <w:t xml:space="preserve"> </w:t>
      </w:r>
      <w:r>
        <w:rPr>
          <w:rFonts w:hint="eastAsia" w:eastAsia="黑体"/>
          <w:color w:val="auto"/>
          <w:sz w:val="32"/>
          <w:szCs w:val="32"/>
          <w:highlight w:val="none"/>
        </w:rPr>
        <w:t>录</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_Toc5312 \h </w:instrText>
      </w:r>
      <w:r>
        <w:rPr>
          <w:color w:val="auto"/>
          <w:sz w:val="32"/>
          <w:szCs w:val="32"/>
          <w:highlight w:val="none"/>
        </w:rPr>
        <w:fldChar w:fldCharType="separate"/>
      </w:r>
      <w:r>
        <w:rPr>
          <w:color w:val="auto"/>
          <w:sz w:val="32"/>
          <w:szCs w:val="32"/>
          <w:highlight w:val="none"/>
        </w:rPr>
        <w:t>3</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_Toc16673 </w:instrText>
      </w:r>
      <w:r>
        <w:rPr>
          <w:color w:val="auto"/>
          <w:sz w:val="32"/>
          <w:szCs w:val="32"/>
          <w:highlight w:val="none"/>
        </w:rPr>
        <w:fldChar w:fldCharType="separate"/>
      </w:r>
      <w:r>
        <w:rPr>
          <w:rFonts w:hint="eastAsia" w:ascii="黑体" w:hAnsi="黑体" w:eastAsia="黑体" w:cs="黑体"/>
          <w:bCs w:val="0"/>
          <w:snapToGrid w:val="0"/>
          <w:color w:val="auto"/>
          <w:sz w:val="32"/>
          <w:szCs w:val="32"/>
          <w:highlight w:val="none"/>
        </w:rPr>
        <w:t>三、报 表 表 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_Toc16673 \h </w:instrText>
      </w:r>
      <w:r>
        <w:rPr>
          <w:color w:val="auto"/>
          <w:sz w:val="32"/>
          <w:szCs w:val="32"/>
          <w:highlight w:val="none"/>
        </w:rPr>
        <w:fldChar w:fldCharType="separate"/>
      </w:r>
      <w:r>
        <w:rPr>
          <w:color w:val="auto"/>
          <w:sz w:val="32"/>
          <w:szCs w:val="32"/>
          <w:highlight w:val="none"/>
        </w:rPr>
        <w:t>4</w:t>
      </w:r>
      <w:r>
        <w:rPr>
          <w:color w:val="auto"/>
          <w:sz w:val="32"/>
          <w:szCs w:val="32"/>
          <w:highlight w:val="none"/>
        </w:rPr>
        <w:fldChar w:fldCharType="end"/>
      </w:r>
      <w:r>
        <w:rPr>
          <w:color w:val="auto"/>
          <w:sz w:val="32"/>
          <w:szCs w:val="32"/>
          <w:highlight w:val="none"/>
        </w:rPr>
        <w:fldChar w:fldCharType="end"/>
      </w:r>
    </w:p>
    <w:p>
      <w:pPr>
        <w:pStyle w:val="13"/>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_Toc18514 </w:instrText>
      </w:r>
      <w:r>
        <w:rPr>
          <w:color w:val="auto"/>
          <w:sz w:val="32"/>
          <w:szCs w:val="32"/>
          <w:highlight w:val="none"/>
        </w:rPr>
        <w:fldChar w:fldCharType="separate"/>
      </w:r>
      <w:r>
        <w:rPr>
          <w:rFonts w:hint="eastAsia" w:ascii="宋体" w:hAnsi="宋体" w:cs="宋体"/>
          <w:color w:val="auto"/>
          <w:sz w:val="32"/>
          <w:szCs w:val="32"/>
          <w:highlight w:val="none"/>
        </w:rPr>
        <w:t>高</w:t>
      </w:r>
      <w:r>
        <w:rPr>
          <w:rFonts w:ascii="宋体" w:hAnsi="宋体" w:cs="宋体"/>
          <w:color w:val="auto"/>
          <w:sz w:val="32"/>
          <w:szCs w:val="32"/>
          <w:highlight w:val="none"/>
        </w:rPr>
        <w:t>新技术</w:t>
      </w:r>
      <w:r>
        <w:rPr>
          <w:rFonts w:hint="eastAsia" w:ascii="宋体" w:hAnsi="宋体" w:cs="宋体"/>
          <w:color w:val="auto"/>
          <w:sz w:val="32"/>
          <w:szCs w:val="32"/>
          <w:highlight w:val="none"/>
        </w:rPr>
        <w:t>产业经营</w:t>
      </w:r>
      <w:r>
        <w:rPr>
          <w:rFonts w:ascii="宋体" w:hAnsi="宋体" w:cs="宋体"/>
          <w:color w:val="auto"/>
          <w:sz w:val="32"/>
          <w:szCs w:val="32"/>
          <w:highlight w:val="none"/>
        </w:rPr>
        <w:t>情况</w:t>
      </w:r>
      <w:r>
        <w:rPr>
          <w:rFonts w:hint="eastAsia" w:ascii="宋体" w:hAnsi="宋体" w:cs="宋体"/>
          <w:color w:val="auto"/>
          <w:sz w:val="32"/>
          <w:szCs w:val="32"/>
          <w:highlight w:val="none"/>
        </w:rPr>
        <w:t>综合</w:t>
      </w:r>
      <w:r>
        <w:rPr>
          <w:rFonts w:ascii="宋体" w:hAnsi="宋体" w:cs="宋体"/>
          <w:color w:val="auto"/>
          <w:sz w:val="32"/>
          <w:szCs w:val="32"/>
          <w:highlight w:val="none"/>
        </w:rPr>
        <w:t>表</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eastAsia="zh-CN"/>
        </w:rPr>
        <w:t>“四上”调查单位</w:t>
      </w:r>
      <w:r>
        <w:rPr>
          <w:rFonts w:hint="eastAsia" w:ascii="宋体" w:hAnsi="宋体" w:eastAsia="宋体" w:cs="宋体"/>
          <w:color w:val="auto"/>
          <w:sz w:val="32"/>
          <w:szCs w:val="32"/>
          <w:highlight w:val="none"/>
        </w:rPr>
        <w:t>）</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_Toc18514 \h </w:instrText>
      </w:r>
      <w:r>
        <w:rPr>
          <w:color w:val="auto"/>
          <w:sz w:val="32"/>
          <w:szCs w:val="32"/>
          <w:highlight w:val="none"/>
        </w:rPr>
        <w:fldChar w:fldCharType="separate"/>
      </w:r>
      <w:r>
        <w:rPr>
          <w:color w:val="auto"/>
          <w:sz w:val="32"/>
          <w:szCs w:val="32"/>
          <w:highlight w:val="none"/>
        </w:rPr>
        <w:t>4</w:t>
      </w:r>
      <w:r>
        <w:rPr>
          <w:color w:val="auto"/>
          <w:sz w:val="32"/>
          <w:szCs w:val="32"/>
          <w:highlight w:val="none"/>
        </w:rPr>
        <w:fldChar w:fldCharType="end"/>
      </w:r>
      <w:r>
        <w:rPr>
          <w:color w:val="auto"/>
          <w:sz w:val="32"/>
          <w:szCs w:val="32"/>
          <w:highlight w:val="none"/>
        </w:rPr>
        <w:fldChar w:fldCharType="end"/>
      </w:r>
    </w:p>
    <w:p>
      <w:pPr>
        <w:pStyle w:val="13"/>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_Toc3254 </w:instrText>
      </w:r>
      <w:r>
        <w:rPr>
          <w:color w:val="auto"/>
          <w:sz w:val="32"/>
          <w:szCs w:val="32"/>
          <w:highlight w:val="none"/>
        </w:rPr>
        <w:fldChar w:fldCharType="separate"/>
      </w:r>
      <w:r>
        <w:rPr>
          <w:rFonts w:hint="eastAsia" w:ascii="宋体" w:hAnsi="宋体" w:cs="宋体"/>
          <w:color w:val="auto"/>
          <w:sz w:val="32"/>
          <w:szCs w:val="32"/>
          <w:highlight w:val="none"/>
        </w:rPr>
        <w:t>高</w:t>
      </w:r>
      <w:r>
        <w:rPr>
          <w:rFonts w:ascii="宋体" w:hAnsi="宋体" w:cs="宋体"/>
          <w:color w:val="auto"/>
          <w:sz w:val="32"/>
          <w:szCs w:val="32"/>
          <w:highlight w:val="none"/>
        </w:rPr>
        <w:t>新技术</w:t>
      </w:r>
      <w:r>
        <w:rPr>
          <w:rFonts w:hint="eastAsia" w:ascii="宋体" w:hAnsi="宋体" w:cs="宋体"/>
          <w:color w:val="auto"/>
          <w:sz w:val="32"/>
          <w:szCs w:val="32"/>
          <w:highlight w:val="none"/>
        </w:rPr>
        <w:t>产业经营</w:t>
      </w:r>
      <w:r>
        <w:rPr>
          <w:rFonts w:ascii="宋体" w:hAnsi="宋体" w:cs="宋体"/>
          <w:color w:val="auto"/>
          <w:sz w:val="32"/>
          <w:szCs w:val="32"/>
          <w:highlight w:val="none"/>
        </w:rPr>
        <w:t>情况</w:t>
      </w:r>
      <w:r>
        <w:rPr>
          <w:rFonts w:hint="eastAsia" w:ascii="宋体" w:hAnsi="宋体" w:cs="宋体"/>
          <w:color w:val="auto"/>
          <w:sz w:val="32"/>
          <w:szCs w:val="32"/>
          <w:highlight w:val="none"/>
        </w:rPr>
        <w:t>综合</w:t>
      </w:r>
      <w:r>
        <w:rPr>
          <w:rFonts w:ascii="宋体" w:hAnsi="宋体" w:cs="宋体"/>
          <w:color w:val="auto"/>
          <w:sz w:val="32"/>
          <w:szCs w:val="32"/>
          <w:highlight w:val="none"/>
        </w:rPr>
        <w:t>表</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eastAsia="zh-CN"/>
        </w:rPr>
        <w:t>“四</w:t>
      </w:r>
      <w:r>
        <w:rPr>
          <w:rFonts w:hint="eastAsia" w:ascii="宋体" w:hAnsi="宋体" w:cs="宋体"/>
          <w:color w:val="auto"/>
          <w:sz w:val="32"/>
          <w:szCs w:val="32"/>
          <w:highlight w:val="none"/>
          <w:lang w:val="en-US" w:eastAsia="zh-CN"/>
        </w:rPr>
        <w:t>下</w:t>
      </w:r>
      <w:r>
        <w:rPr>
          <w:rFonts w:hint="eastAsia" w:ascii="宋体" w:hAnsi="宋体" w:cs="宋体"/>
          <w:color w:val="auto"/>
          <w:sz w:val="32"/>
          <w:szCs w:val="32"/>
          <w:highlight w:val="none"/>
          <w:lang w:eastAsia="zh-CN"/>
        </w:rPr>
        <w:t>”调查单位</w:t>
      </w:r>
      <w:r>
        <w:rPr>
          <w:rFonts w:hint="eastAsia" w:ascii="宋体" w:hAnsi="宋体" w:eastAsia="宋体" w:cs="宋体"/>
          <w:color w:val="auto"/>
          <w:sz w:val="32"/>
          <w:szCs w:val="32"/>
          <w:highlight w:val="none"/>
        </w:rPr>
        <w:t>）</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_Toc3254 \h </w:instrText>
      </w:r>
      <w:r>
        <w:rPr>
          <w:color w:val="auto"/>
          <w:sz w:val="32"/>
          <w:szCs w:val="32"/>
          <w:highlight w:val="none"/>
        </w:rPr>
        <w:fldChar w:fldCharType="separate"/>
      </w:r>
      <w:r>
        <w:rPr>
          <w:color w:val="auto"/>
          <w:sz w:val="32"/>
          <w:szCs w:val="32"/>
          <w:highlight w:val="none"/>
        </w:rPr>
        <w:t>6</w:t>
      </w:r>
      <w:r>
        <w:rPr>
          <w:color w:val="auto"/>
          <w:sz w:val="32"/>
          <w:szCs w:val="32"/>
          <w:highlight w:val="none"/>
        </w:rPr>
        <w:fldChar w:fldCharType="end"/>
      </w:r>
      <w:r>
        <w:rPr>
          <w:color w:val="auto"/>
          <w:sz w:val="32"/>
          <w:szCs w:val="32"/>
          <w:highlight w:val="none"/>
        </w:rPr>
        <w:fldChar w:fldCharType="end"/>
      </w:r>
    </w:p>
    <w:p>
      <w:pPr>
        <w:pStyle w:val="13"/>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_Toc29909 </w:instrText>
      </w:r>
      <w:r>
        <w:rPr>
          <w:color w:val="auto"/>
          <w:sz w:val="32"/>
          <w:szCs w:val="32"/>
          <w:highlight w:val="none"/>
        </w:rPr>
        <w:fldChar w:fldCharType="separate"/>
      </w:r>
      <w:r>
        <w:rPr>
          <w:rFonts w:hint="eastAsia" w:ascii="宋体" w:hAnsi="宋体" w:eastAsia="宋体" w:cs="宋体"/>
          <w:color w:val="auto"/>
          <w:sz w:val="32"/>
          <w:szCs w:val="32"/>
          <w:highlight w:val="none"/>
          <w:lang w:eastAsia="zh-CN"/>
        </w:rPr>
        <w:t>高新</w:t>
      </w:r>
      <w:r>
        <w:rPr>
          <w:rFonts w:hint="eastAsia" w:ascii="宋体" w:hAnsi="宋体" w:cs="宋体"/>
          <w:color w:val="auto"/>
          <w:sz w:val="32"/>
          <w:szCs w:val="32"/>
          <w:highlight w:val="none"/>
          <w:lang w:eastAsia="zh-CN"/>
        </w:rPr>
        <w:t>育种及服务产业调查</w:t>
      </w:r>
      <w:r>
        <w:rPr>
          <w:rFonts w:hint="eastAsia" w:ascii="宋体" w:hAnsi="宋体" w:eastAsia="宋体" w:cs="宋体"/>
          <w:color w:val="auto"/>
          <w:sz w:val="32"/>
          <w:szCs w:val="32"/>
          <w:highlight w:val="none"/>
        </w:rPr>
        <w:t>单位名录</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_Toc29909 \h </w:instrText>
      </w:r>
      <w:r>
        <w:rPr>
          <w:color w:val="auto"/>
          <w:sz w:val="32"/>
          <w:szCs w:val="32"/>
          <w:highlight w:val="none"/>
        </w:rPr>
        <w:fldChar w:fldCharType="separate"/>
      </w:r>
      <w:r>
        <w:rPr>
          <w:color w:val="auto"/>
          <w:sz w:val="32"/>
          <w:szCs w:val="32"/>
          <w:highlight w:val="none"/>
        </w:rPr>
        <w:t>7</w:t>
      </w:r>
      <w:r>
        <w:rPr>
          <w:color w:val="auto"/>
          <w:sz w:val="32"/>
          <w:szCs w:val="32"/>
          <w:highlight w:val="none"/>
        </w:rPr>
        <w:fldChar w:fldCharType="end"/>
      </w:r>
      <w:r>
        <w:rPr>
          <w:color w:val="auto"/>
          <w:sz w:val="32"/>
          <w:szCs w:val="32"/>
          <w:highlight w:val="none"/>
        </w:rPr>
        <w:fldChar w:fldCharType="end"/>
      </w:r>
    </w:p>
    <w:p>
      <w:pPr>
        <w:pStyle w:val="13"/>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_Toc4870 </w:instrText>
      </w:r>
      <w:r>
        <w:rPr>
          <w:color w:val="auto"/>
          <w:sz w:val="32"/>
          <w:szCs w:val="32"/>
          <w:highlight w:val="none"/>
        </w:rPr>
        <w:fldChar w:fldCharType="separate"/>
      </w:r>
      <w:r>
        <w:rPr>
          <w:rFonts w:hint="eastAsia" w:ascii="宋体" w:hAnsi="宋体" w:cs="宋体"/>
          <w:color w:val="auto"/>
          <w:sz w:val="32"/>
          <w:szCs w:val="32"/>
          <w:highlight w:val="none"/>
        </w:rPr>
        <w:t>高新</w:t>
      </w:r>
      <w:r>
        <w:rPr>
          <w:rFonts w:hint="eastAsia" w:ascii="宋体" w:hAnsi="宋体" w:cs="宋体"/>
          <w:color w:val="auto"/>
          <w:sz w:val="32"/>
          <w:szCs w:val="32"/>
          <w:highlight w:val="none"/>
          <w:lang w:eastAsia="zh-CN"/>
        </w:rPr>
        <w:t>育种及服务产业</w:t>
      </w:r>
      <w:r>
        <w:rPr>
          <w:rFonts w:hint="eastAsia" w:ascii="宋体" w:hAnsi="宋体" w:cs="宋体"/>
          <w:color w:val="auto"/>
          <w:sz w:val="32"/>
          <w:szCs w:val="32"/>
          <w:highlight w:val="none"/>
        </w:rPr>
        <w:t>经营情况综合表</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_Toc4870 \h </w:instrText>
      </w:r>
      <w:r>
        <w:rPr>
          <w:color w:val="auto"/>
          <w:sz w:val="32"/>
          <w:szCs w:val="32"/>
          <w:highlight w:val="none"/>
        </w:rPr>
        <w:fldChar w:fldCharType="separate"/>
      </w:r>
      <w:r>
        <w:rPr>
          <w:color w:val="auto"/>
          <w:sz w:val="32"/>
          <w:szCs w:val="32"/>
          <w:highlight w:val="none"/>
        </w:rPr>
        <w:t>8</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_Toc4470 </w:instrText>
      </w:r>
      <w:r>
        <w:rPr>
          <w:color w:val="auto"/>
          <w:sz w:val="32"/>
          <w:szCs w:val="32"/>
          <w:highlight w:val="none"/>
        </w:rPr>
        <w:fldChar w:fldCharType="separate"/>
      </w:r>
      <w:r>
        <w:rPr>
          <w:rFonts w:hint="eastAsia" w:ascii="黑体" w:eastAsia="黑体"/>
          <w:color w:val="auto"/>
          <w:sz w:val="32"/>
          <w:szCs w:val="32"/>
          <w:highlight w:val="none"/>
        </w:rPr>
        <w:t>四、指标解释</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_Toc4470 \h </w:instrText>
      </w:r>
      <w:r>
        <w:rPr>
          <w:color w:val="auto"/>
          <w:sz w:val="32"/>
          <w:szCs w:val="32"/>
          <w:highlight w:val="none"/>
        </w:rPr>
        <w:fldChar w:fldCharType="separate"/>
      </w:r>
      <w:r>
        <w:rPr>
          <w:color w:val="auto"/>
          <w:sz w:val="32"/>
          <w:szCs w:val="32"/>
          <w:highlight w:val="none"/>
        </w:rPr>
        <w:t>9</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_Toc13584 </w:instrText>
      </w:r>
      <w:r>
        <w:rPr>
          <w:color w:val="auto"/>
          <w:sz w:val="32"/>
          <w:szCs w:val="32"/>
          <w:highlight w:val="none"/>
        </w:rPr>
        <w:fldChar w:fldCharType="separate"/>
      </w:r>
      <w:r>
        <w:rPr>
          <w:rFonts w:hint="eastAsia" w:ascii="黑体" w:eastAsia="黑体" w:cs="Times New Roman"/>
          <w:color w:val="auto"/>
          <w:sz w:val="32"/>
          <w:szCs w:val="32"/>
          <w:highlight w:val="none"/>
          <w:lang w:eastAsia="zh-CN"/>
        </w:rPr>
        <w:t>五、</w:t>
      </w:r>
      <w:r>
        <w:rPr>
          <w:rFonts w:hint="eastAsia" w:ascii="黑体" w:eastAsia="黑体" w:cs="Times New Roman"/>
          <w:color w:val="auto"/>
          <w:sz w:val="32"/>
          <w:szCs w:val="32"/>
          <w:highlight w:val="none"/>
        </w:rPr>
        <w:t>海南省高新技术产业统计分类目录（</w:t>
      </w:r>
      <w:r>
        <w:rPr>
          <w:rFonts w:hint="eastAsia" w:ascii="黑体" w:eastAsia="黑体" w:cs="Times New Roman"/>
          <w:color w:val="auto"/>
          <w:sz w:val="32"/>
          <w:szCs w:val="32"/>
          <w:highlight w:val="none"/>
          <w:lang w:val="en-US" w:eastAsia="zh-CN"/>
        </w:rPr>
        <w:t>2026</w:t>
      </w:r>
      <w:r>
        <w:rPr>
          <w:rFonts w:hint="eastAsia" w:ascii="黑体" w:eastAsia="黑体" w:cs="Times New Roman"/>
          <w:color w:val="auto"/>
          <w:sz w:val="32"/>
          <w:szCs w:val="32"/>
          <w:highlight w:val="none"/>
        </w:rPr>
        <w:t>）</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_Toc13584 \h </w:instrText>
      </w:r>
      <w:r>
        <w:rPr>
          <w:color w:val="auto"/>
          <w:sz w:val="32"/>
          <w:szCs w:val="32"/>
          <w:highlight w:val="none"/>
        </w:rPr>
        <w:fldChar w:fldCharType="separate"/>
      </w:r>
      <w:r>
        <w:rPr>
          <w:color w:val="auto"/>
          <w:sz w:val="32"/>
          <w:szCs w:val="32"/>
          <w:highlight w:val="none"/>
        </w:rPr>
        <w:t>11</w:t>
      </w:r>
      <w:r>
        <w:rPr>
          <w:color w:val="auto"/>
          <w:sz w:val="32"/>
          <w:szCs w:val="32"/>
          <w:highlight w:val="none"/>
        </w:rPr>
        <w:fldChar w:fldCharType="end"/>
      </w:r>
      <w:r>
        <w:rPr>
          <w:color w:val="auto"/>
          <w:sz w:val="32"/>
          <w:szCs w:val="32"/>
          <w:highlight w:val="none"/>
        </w:rPr>
        <w:fldChar w:fldCharType="end"/>
      </w:r>
    </w:p>
    <w:p>
      <w:pPr>
        <w:pStyle w:val="11"/>
        <w:tabs>
          <w:tab w:val="right" w:leader="dot" w:pos="9356"/>
        </w:tabs>
        <w:rPr>
          <w:color w:val="auto"/>
          <w:sz w:val="32"/>
          <w:szCs w:val="32"/>
          <w:highlight w:val="none"/>
        </w:rPr>
      </w:pPr>
      <w:r>
        <w:rPr>
          <w:color w:val="auto"/>
          <w:sz w:val="32"/>
          <w:szCs w:val="32"/>
          <w:highlight w:val="none"/>
        </w:rPr>
        <w:fldChar w:fldCharType="begin"/>
      </w:r>
      <w:r>
        <w:rPr>
          <w:color w:val="auto"/>
          <w:sz w:val="32"/>
          <w:szCs w:val="32"/>
          <w:highlight w:val="none"/>
        </w:rPr>
        <w:instrText xml:space="preserve"> HYPERLINK \l _Toc12210 </w:instrText>
      </w:r>
      <w:r>
        <w:rPr>
          <w:color w:val="auto"/>
          <w:sz w:val="32"/>
          <w:szCs w:val="32"/>
          <w:highlight w:val="none"/>
        </w:rPr>
        <w:fldChar w:fldCharType="separate"/>
      </w:r>
      <w:r>
        <w:rPr>
          <w:rFonts w:hint="default" w:ascii="黑体" w:eastAsia="黑体" w:cs="Times New Roman"/>
          <w:color w:val="auto"/>
          <w:sz w:val="32"/>
          <w:szCs w:val="32"/>
          <w:highlight w:val="none"/>
          <w:lang w:eastAsia="zh-CN"/>
        </w:rPr>
        <w:t>六</w:t>
      </w:r>
      <w:r>
        <w:rPr>
          <w:rFonts w:hint="eastAsia" w:ascii="黑体" w:hAnsi="Times New Roman" w:eastAsia="黑体" w:cs="Times New Roman"/>
          <w:color w:val="auto"/>
          <w:sz w:val="32"/>
          <w:szCs w:val="32"/>
          <w:highlight w:val="none"/>
          <w:lang w:eastAsia="zh-CN"/>
        </w:rPr>
        <w:t>、</w:t>
      </w:r>
      <w:r>
        <w:rPr>
          <w:rFonts w:hint="eastAsia" w:ascii="黑体" w:hAnsi="Times New Roman" w:eastAsia="黑体" w:cs="Times New Roman"/>
          <w:color w:val="auto"/>
          <w:sz w:val="32"/>
          <w:szCs w:val="32"/>
          <w:highlight w:val="none"/>
        </w:rPr>
        <w:t>数字经济及其核心产业统计分类（2021）</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_Toc12210 \h </w:instrText>
      </w:r>
      <w:r>
        <w:rPr>
          <w:color w:val="auto"/>
          <w:sz w:val="32"/>
          <w:szCs w:val="32"/>
          <w:highlight w:val="none"/>
        </w:rPr>
        <w:fldChar w:fldCharType="separate"/>
      </w:r>
      <w:r>
        <w:rPr>
          <w:color w:val="auto"/>
          <w:sz w:val="32"/>
          <w:szCs w:val="32"/>
          <w:highlight w:val="none"/>
        </w:rPr>
        <w:t>35</w:t>
      </w:r>
      <w:r>
        <w:rPr>
          <w:color w:val="auto"/>
          <w:sz w:val="32"/>
          <w:szCs w:val="32"/>
          <w:highlight w:val="none"/>
        </w:rPr>
        <w:fldChar w:fldCharType="end"/>
      </w:r>
      <w:r>
        <w:rPr>
          <w:color w:val="auto"/>
          <w:sz w:val="32"/>
          <w:szCs w:val="32"/>
          <w:highlight w:val="none"/>
        </w:rPr>
        <w:fldChar w:fldCharType="end"/>
      </w:r>
    </w:p>
    <w:p>
      <w:pPr>
        <w:pStyle w:val="21"/>
        <w:spacing w:line="360" w:lineRule="auto"/>
        <w:rPr>
          <w:color w:val="auto"/>
          <w:highlight w:val="none"/>
        </w:rPr>
      </w:pPr>
      <w:r>
        <w:rPr>
          <w:color w:val="auto"/>
          <w:sz w:val="32"/>
          <w:szCs w:val="32"/>
          <w:highlight w:val="none"/>
        </w:rPr>
        <w:fldChar w:fldCharType="end"/>
      </w:r>
    </w:p>
    <w:p>
      <w:pPr>
        <w:tabs>
          <w:tab w:val="right" w:leader="middleDot" w:pos="9040"/>
        </w:tabs>
        <w:spacing w:line="340" w:lineRule="exact"/>
        <w:ind w:firstLine="210" w:firstLineChars="100"/>
        <w:rPr>
          <w:color w:val="auto"/>
          <w:highlight w:val="none"/>
        </w:rPr>
      </w:pPr>
    </w:p>
    <w:p>
      <w:pPr>
        <w:tabs>
          <w:tab w:val="right" w:leader="middleDot" w:pos="9030"/>
        </w:tabs>
        <w:spacing w:line="340" w:lineRule="exact"/>
        <w:ind w:firstLine="210" w:firstLineChars="100"/>
        <w:rPr>
          <w:color w:val="auto"/>
          <w:highlight w:val="none"/>
        </w:rPr>
      </w:pPr>
    </w:p>
    <w:p>
      <w:pPr>
        <w:tabs>
          <w:tab w:val="right" w:leader="middleDot" w:pos="9421"/>
        </w:tabs>
        <w:snapToGrid w:val="0"/>
        <w:spacing w:before="360" w:beforeLines="150" w:after="360" w:afterLines="150" w:line="500" w:lineRule="exact"/>
        <w:jc w:val="center"/>
        <w:outlineLvl w:val="0"/>
        <w:rPr>
          <w:rFonts w:hint="eastAsia" w:ascii="黑体" w:hAnsi="黑体" w:eastAsia="黑体" w:cs="黑体"/>
          <w:color w:val="auto"/>
          <w:sz w:val="32"/>
          <w:highlight w:val="none"/>
        </w:rPr>
        <w:sectPr>
          <w:footerReference r:id="rId8" w:type="default"/>
          <w:pgSz w:w="11850" w:h="16783"/>
          <w:pgMar w:top="1247" w:right="1247" w:bottom="1247" w:left="1247" w:header="851" w:footer="850" w:gutter="0"/>
          <w:pgBorders>
            <w:top w:val="none" w:sz="0" w:space="0"/>
            <w:left w:val="none" w:sz="0" w:space="0"/>
            <w:bottom w:val="none" w:sz="0" w:space="0"/>
            <w:right w:val="none" w:sz="0" w:space="0"/>
          </w:pgBorders>
          <w:pgNumType w:fmt="decimal" w:start="1"/>
          <w:cols w:space="720" w:num="1"/>
          <w:docGrid w:linePitch="312" w:charSpace="0"/>
        </w:sectPr>
      </w:pPr>
      <w:bookmarkStart w:id="6" w:name="_Toc20355"/>
      <w:bookmarkStart w:id="7" w:name="_Toc1587"/>
      <w:bookmarkStart w:id="8" w:name="_Toc1919428589"/>
      <w:bookmarkStart w:id="9" w:name="_Toc26816"/>
      <w:bookmarkStart w:id="10" w:name="_Toc20056"/>
      <w:bookmarkStart w:id="11" w:name="_Toc9264"/>
      <w:bookmarkStart w:id="12" w:name="_Toc24704"/>
      <w:bookmarkStart w:id="13" w:name="_Toc25520"/>
      <w:bookmarkStart w:id="14" w:name="_Toc15722"/>
      <w:bookmarkStart w:id="15" w:name="_Toc19415"/>
      <w:bookmarkStart w:id="16" w:name="_Toc29745"/>
      <w:bookmarkStart w:id="17" w:name="_Toc27340"/>
    </w:p>
    <w:p>
      <w:pPr>
        <w:tabs>
          <w:tab w:val="right" w:leader="middleDot" w:pos="9421"/>
        </w:tabs>
        <w:snapToGrid w:val="0"/>
        <w:spacing w:before="360" w:beforeLines="150" w:after="360" w:afterLines="150" w:line="500" w:lineRule="exact"/>
        <w:jc w:val="center"/>
        <w:outlineLvl w:val="0"/>
        <w:rPr>
          <w:rFonts w:eastAsia="黑体"/>
          <w:color w:val="auto"/>
          <w:sz w:val="32"/>
          <w:highlight w:val="none"/>
        </w:rPr>
      </w:pPr>
      <w:bookmarkStart w:id="18" w:name="_Toc12912"/>
      <w:bookmarkStart w:id="19" w:name="_Toc356"/>
      <w:bookmarkStart w:id="20" w:name="_Toc16114"/>
      <w:r>
        <w:rPr>
          <w:rFonts w:hint="eastAsia" w:eastAsia="黑体"/>
          <w:color w:val="auto"/>
          <w:sz w:val="32"/>
          <w:highlight w:val="none"/>
        </w:rPr>
        <w:t>一、总</w:t>
      </w:r>
      <w:r>
        <w:rPr>
          <w:rFonts w:eastAsia="黑体"/>
          <w:color w:val="auto"/>
          <w:sz w:val="32"/>
          <w:highlight w:val="none"/>
        </w:rPr>
        <w:t xml:space="preserve">  </w:t>
      </w:r>
      <w:r>
        <w:rPr>
          <w:rFonts w:hint="eastAsia" w:eastAsia="黑体"/>
          <w:color w:val="auto"/>
          <w:sz w:val="32"/>
          <w:highlight w:val="none"/>
        </w:rPr>
        <w:t>说</w:t>
      </w:r>
      <w:r>
        <w:rPr>
          <w:rFonts w:eastAsia="黑体"/>
          <w:color w:val="auto"/>
          <w:sz w:val="32"/>
          <w:highlight w:val="none"/>
        </w:rPr>
        <w:t xml:space="preserve">  </w:t>
      </w:r>
      <w:r>
        <w:rPr>
          <w:rFonts w:hint="eastAsia" w:eastAsia="黑体"/>
          <w:color w:val="auto"/>
          <w:sz w:val="32"/>
          <w:highlight w:val="none"/>
        </w:rPr>
        <w:t>明</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adjustRightInd w:val="0"/>
        <w:snapToGrid w:val="0"/>
        <w:spacing w:line="500" w:lineRule="exact"/>
        <w:ind w:firstLine="420" w:firstLineChars="200"/>
        <w:textAlignment w:val="baseline"/>
        <w:rPr>
          <w:rFonts w:hint="eastAsia" w:ascii="宋体"/>
          <w:color w:val="auto"/>
          <w:highlight w:val="none"/>
        </w:rPr>
      </w:pPr>
      <w:r>
        <w:rPr>
          <w:rFonts w:hint="eastAsia" w:ascii="宋体"/>
          <w:color w:val="auto"/>
          <w:highlight w:val="none"/>
        </w:rPr>
        <w:t>（一）统计目的：为了解</w:t>
      </w:r>
      <w:r>
        <w:rPr>
          <w:rFonts w:hint="eastAsia" w:ascii="宋体"/>
          <w:color w:val="auto"/>
          <w:highlight w:val="none"/>
          <w:lang w:val="en-US" w:eastAsia="zh-CN"/>
        </w:rPr>
        <w:t>海南</w:t>
      </w:r>
      <w:r>
        <w:rPr>
          <w:rFonts w:hint="eastAsia" w:ascii="宋体"/>
          <w:color w:val="auto"/>
          <w:highlight w:val="none"/>
        </w:rPr>
        <w:t>省高新</w:t>
      </w:r>
      <w:r>
        <w:rPr>
          <w:rFonts w:ascii="宋体"/>
          <w:color w:val="auto"/>
          <w:highlight w:val="none"/>
        </w:rPr>
        <w:t>技术</w:t>
      </w:r>
      <w:r>
        <w:rPr>
          <w:rFonts w:hint="eastAsia" w:ascii="宋体"/>
          <w:color w:val="auto"/>
          <w:highlight w:val="none"/>
        </w:rPr>
        <w:t>产业发展的基本情况，为各级政府</w:t>
      </w:r>
      <w:r>
        <w:rPr>
          <w:rFonts w:hint="eastAsia" w:ascii="宋体"/>
          <w:color w:val="auto"/>
          <w:highlight w:val="none"/>
          <w:lang w:val="en-US" w:eastAsia="zh-CN"/>
        </w:rPr>
        <w:t>和有关部门</w:t>
      </w:r>
      <w:r>
        <w:rPr>
          <w:rFonts w:hint="eastAsia" w:ascii="宋体"/>
          <w:color w:val="auto"/>
          <w:highlight w:val="none"/>
        </w:rPr>
        <w:t>制定</w:t>
      </w:r>
      <w:r>
        <w:rPr>
          <w:rFonts w:hint="eastAsia" w:ascii="宋体"/>
          <w:color w:val="auto"/>
          <w:highlight w:val="none"/>
          <w:lang w:val="en-US" w:eastAsia="zh-CN"/>
        </w:rPr>
        <w:t>本</w:t>
      </w:r>
      <w:r>
        <w:rPr>
          <w:rFonts w:ascii="宋体"/>
          <w:color w:val="auto"/>
          <w:highlight w:val="none"/>
        </w:rPr>
        <w:t>省高新技术产业</w:t>
      </w:r>
      <w:r>
        <w:rPr>
          <w:rFonts w:hint="eastAsia" w:ascii="宋体"/>
          <w:color w:val="auto"/>
          <w:highlight w:val="none"/>
          <w:lang w:val="en-US" w:eastAsia="zh-CN"/>
        </w:rPr>
        <w:t>相关</w:t>
      </w:r>
      <w:r>
        <w:rPr>
          <w:rFonts w:hint="eastAsia" w:ascii="宋体"/>
          <w:color w:val="auto"/>
          <w:highlight w:val="none"/>
        </w:rPr>
        <w:t>政策和</w:t>
      </w:r>
      <w:r>
        <w:rPr>
          <w:rFonts w:hint="eastAsia" w:ascii="宋体"/>
          <w:color w:val="auto"/>
          <w:highlight w:val="none"/>
          <w:lang w:val="en-US" w:eastAsia="zh-CN"/>
        </w:rPr>
        <w:t>规划</w:t>
      </w:r>
      <w:r>
        <w:rPr>
          <w:rFonts w:hint="eastAsia" w:ascii="宋体"/>
          <w:color w:val="auto"/>
          <w:highlight w:val="none"/>
        </w:rPr>
        <w:t>、进行经济管理与调控提供依据，依照《中华人民共和国统计法》，结合</w:t>
      </w:r>
      <w:r>
        <w:rPr>
          <w:rFonts w:hint="eastAsia" w:ascii="宋体"/>
          <w:color w:val="auto"/>
          <w:highlight w:val="none"/>
          <w:lang w:val="en-US" w:eastAsia="zh-CN"/>
        </w:rPr>
        <w:t>海南</w:t>
      </w:r>
      <w:r>
        <w:rPr>
          <w:rFonts w:hint="eastAsia" w:ascii="宋体"/>
          <w:color w:val="auto"/>
          <w:highlight w:val="none"/>
        </w:rPr>
        <w:t>省实际，制定本制度。</w:t>
      </w:r>
    </w:p>
    <w:p>
      <w:pPr>
        <w:adjustRightInd w:val="0"/>
        <w:snapToGrid w:val="0"/>
        <w:spacing w:line="500" w:lineRule="exact"/>
        <w:ind w:firstLine="420" w:firstLineChars="200"/>
        <w:textAlignment w:val="baseline"/>
        <w:outlineLvl w:val="9"/>
        <w:rPr>
          <w:rFonts w:ascii="宋体" w:hAnsi="宋体"/>
          <w:bCs/>
          <w:color w:val="auto"/>
          <w:szCs w:val="21"/>
          <w:highlight w:val="none"/>
        </w:rPr>
      </w:pPr>
      <w:r>
        <w:rPr>
          <w:rFonts w:hint="eastAsia" w:ascii="宋体"/>
          <w:color w:val="auto"/>
          <w:highlight w:val="none"/>
        </w:rPr>
        <w:t>（二）</w:t>
      </w:r>
      <w:r>
        <w:rPr>
          <w:rFonts w:hint="eastAsia" w:ascii="宋体" w:hAnsi="宋体"/>
          <w:bCs/>
          <w:color w:val="auto"/>
          <w:szCs w:val="21"/>
          <w:highlight w:val="none"/>
        </w:rPr>
        <w:t>统计范围及调查单位确定</w:t>
      </w:r>
    </w:p>
    <w:p>
      <w:pPr>
        <w:adjustRightInd w:val="0"/>
        <w:snapToGrid w:val="0"/>
        <w:spacing w:line="500" w:lineRule="exact"/>
        <w:ind w:firstLine="420" w:firstLineChars="200"/>
        <w:textAlignment w:val="baseline"/>
        <w:rPr>
          <w:rFonts w:ascii="宋体"/>
          <w:color w:val="auto"/>
          <w:highlight w:val="none"/>
        </w:rPr>
      </w:pPr>
      <w:r>
        <w:rPr>
          <w:rFonts w:ascii="宋体" w:hAnsi="宋体"/>
          <w:bCs/>
          <w:color w:val="auto"/>
          <w:szCs w:val="21"/>
          <w:highlight w:val="none"/>
        </w:rPr>
        <w:t>1</w:t>
      </w:r>
      <w:r>
        <w:rPr>
          <w:rFonts w:hint="default" w:ascii="宋体" w:hAnsi="宋体"/>
          <w:bCs/>
          <w:color w:val="auto"/>
          <w:szCs w:val="21"/>
          <w:highlight w:val="none"/>
        </w:rPr>
        <w:t>.</w:t>
      </w:r>
      <w:r>
        <w:rPr>
          <w:rFonts w:hint="eastAsia" w:ascii="宋体"/>
          <w:color w:val="auto"/>
          <w:highlight w:val="none"/>
        </w:rPr>
        <w:t>统计范围：</w:t>
      </w:r>
      <w:r>
        <w:rPr>
          <w:rFonts w:hint="eastAsia" w:ascii="宋体" w:hAnsi="宋体"/>
          <w:color w:val="auto"/>
          <w:szCs w:val="21"/>
          <w:highlight w:val="none"/>
        </w:rPr>
        <w:t>纳入</w:t>
      </w:r>
      <w:r>
        <w:rPr>
          <w:rFonts w:hint="eastAsia" w:ascii="宋体"/>
          <w:color w:val="auto"/>
          <w:highlight w:val="none"/>
        </w:rPr>
        <w:t>《海南省高新技术产业统计分类目录（</w:t>
      </w:r>
      <w:r>
        <w:rPr>
          <w:rFonts w:hint="eastAsia" w:ascii="宋体"/>
          <w:color w:val="auto"/>
          <w:highlight w:val="none"/>
          <w:lang w:val="en-US" w:eastAsia="zh-CN"/>
        </w:rPr>
        <w:t>2026年</w:t>
      </w:r>
      <w:r>
        <w:rPr>
          <w:rFonts w:hint="eastAsia" w:ascii="宋体"/>
          <w:color w:val="auto"/>
          <w:highlight w:val="none"/>
        </w:rPr>
        <w:t>）》的</w:t>
      </w:r>
      <w:r>
        <w:rPr>
          <w:rFonts w:hint="eastAsia" w:ascii="宋体"/>
          <w:color w:val="auto"/>
          <w:highlight w:val="none"/>
          <w:lang w:val="en-US" w:eastAsia="zh-CN"/>
        </w:rPr>
        <w:t>行业或企业</w:t>
      </w:r>
      <w:r>
        <w:rPr>
          <w:rFonts w:hint="eastAsia" w:ascii="宋体"/>
          <w:color w:val="auto"/>
          <w:highlight w:val="none"/>
        </w:rPr>
        <w:t>。</w:t>
      </w:r>
    </w:p>
    <w:p>
      <w:pPr>
        <w:snapToGrid w:val="0"/>
        <w:spacing w:line="500" w:lineRule="exact"/>
        <w:ind w:firstLine="420" w:firstLineChars="200"/>
        <w:rPr>
          <w:rFonts w:hint="eastAsia" w:ascii="宋体" w:hAnsi="宋体"/>
          <w:bCs/>
          <w:color w:val="auto"/>
          <w:szCs w:val="21"/>
          <w:highlight w:val="none"/>
        </w:rPr>
      </w:pPr>
      <w:r>
        <w:rPr>
          <w:rFonts w:ascii="宋体" w:hAnsi="宋体"/>
          <w:bCs/>
          <w:color w:val="auto"/>
          <w:szCs w:val="21"/>
          <w:highlight w:val="none"/>
        </w:rPr>
        <w:t>2</w:t>
      </w:r>
      <w:r>
        <w:rPr>
          <w:rFonts w:hint="default" w:ascii="宋体" w:hAnsi="宋体"/>
          <w:bCs/>
          <w:color w:val="auto"/>
          <w:szCs w:val="21"/>
          <w:highlight w:val="none"/>
        </w:rPr>
        <w:t>.</w:t>
      </w:r>
      <w:r>
        <w:rPr>
          <w:rFonts w:hint="eastAsia" w:ascii="宋体" w:hAnsi="宋体"/>
          <w:bCs/>
          <w:color w:val="auto"/>
          <w:szCs w:val="21"/>
          <w:highlight w:val="none"/>
        </w:rPr>
        <w:t>调查</w:t>
      </w:r>
      <w:r>
        <w:rPr>
          <w:rFonts w:ascii="宋体" w:hAnsi="宋体"/>
          <w:bCs/>
          <w:color w:val="auto"/>
          <w:szCs w:val="21"/>
          <w:highlight w:val="none"/>
        </w:rPr>
        <w:t>对象</w:t>
      </w:r>
      <w:r>
        <w:rPr>
          <w:rFonts w:hint="eastAsia" w:ascii="宋体" w:hAnsi="宋体"/>
          <w:bCs/>
          <w:color w:val="auto"/>
          <w:szCs w:val="21"/>
          <w:highlight w:val="none"/>
        </w:rPr>
        <w:t>：</w:t>
      </w:r>
    </w:p>
    <w:p>
      <w:pPr>
        <w:snapToGrid w:val="0"/>
        <w:spacing w:line="500" w:lineRule="exact"/>
        <w:ind w:firstLine="420" w:firstLineChars="200"/>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cs="宋体"/>
          <w:color w:val="auto"/>
          <w:kern w:val="0"/>
          <w:szCs w:val="21"/>
          <w:highlight w:val="none"/>
        </w:rPr>
        <w:t>“</w:t>
      </w:r>
      <w:r>
        <w:rPr>
          <w:rFonts w:hint="eastAsia" w:ascii="宋体"/>
          <w:strike w:val="0"/>
          <w:color w:val="auto"/>
          <w:highlight w:val="none"/>
          <w:lang w:eastAsia="zh-CN"/>
        </w:rPr>
        <w:t>四上</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调查单位：</w:t>
      </w:r>
      <w:r>
        <w:rPr>
          <w:rFonts w:hint="default" w:ascii="宋体" w:hAnsi="宋体" w:cs="宋体"/>
          <w:color w:val="auto"/>
          <w:kern w:val="0"/>
          <w:szCs w:val="21"/>
          <w:highlight w:val="none"/>
        </w:rPr>
        <w:t>指</w:t>
      </w:r>
      <w:r>
        <w:rPr>
          <w:rFonts w:hint="eastAsia" w:ascii="宋体" w:hAnsi="宋体"/>
          <w:bCs/>
          <w:color w:val="auto"/>
          <w:szCs w:val="21"/>
          <w:highlight w:val="none"/>
        </w:rPr>
        <w:t>规模以上工业</w:t>
      </w:r>
      <w:r>
        <w:rPr>
          <w:rFonts w:hint="eastAsia" w:ascii="宋体" w:hAnsi="宋体"/>
          <w:bCs/>
          <w:color w:val="auto"/>
          <w:szCs w:val="21"/>
          <w:highlight w:val="none"/>
          <w:lang w:val="en-US" w:eastAsia="zh-CN"/>
        </w:rPr>
        <w:t>法人单位</w:t>
      </w:r>
      <w:r>
        <w:rPr>
          <w:rFonts w:hint="eastAsia" w:ascii="宋体" w:hAnsi="宋体"/>
          <w:bCs/>
          <w:color w:val="auto"/>
          <w:szCs w:val="21"/>
          <w:highlight w:val="none"/>
        </w:rPr>
        <w:t>、有</w:t>
      </w:r>
      <w:r>
        <w:rPr>
          <w:rFonts w:hint="eastAsia" w:ascii="宋体" w:hAnsi="宋体"/>
          <w:bCs/>
          <w:color w:val="auto"/>
          <w:szCs w:val="21"/>
          <w:highlight w:val="none"/>
          <w:lang w:val="en-US" w:eastAsia="zh-CN"/>
        </w:rPr>
        <w:t>总承包和专业承包</w:t>
      </w:r>
      <w:r>
        <w:rPr>
          <w:rFonts w:hint="eastAsia" w:ascii="宋体" w:hAnsi="宋体"/>
          <w:bCs/>
          <w:color w:val="auto"/>
          <w:szCs w:val="21"/>
          <w:highlight w:val="none"/>
        </w:rPr>
        <w:t>资质的建筑业</w:t>
      </w:r>
      <w:r>
        <w:rPr>
          <w:rFonts w:hint="default" w:ascii="宋体" w:hAnsi="宋体"/>
          <w:bCs/>
          <w:color w:val="auto"/>
          <w:szCs w:val="21"/>
          <w:highlight w:val="none"/>
          <w:lang w:val="en-US"/>
        </w:rPr>
        <w:t>企</w:t>
      </w:r>
      <w:r>
        <w:rPr>
          <w:rFonts w:ascii="宋体" w:hAnsi="宋体"/>
          <w:bCs/>
          <w:color w:val="auto"/>
          <w:szCs w:val="21"/>
          <w:highlight w:val="none"/>
        </w:rPr>
        <w:t>业</w:t>
      </w:r>
      <w:r>
        <w:rPr>
          <w:rFonts w:hint="eastAsia" w:ascii="宋体" w:hAnsi="宋体"/>
          <w:bCs/>
          <w:color w:val="auto"/>
          <w:szCs w:val="21"/>
          <w:highlight w:val="none"/>
        </w:rPr>
        <w:t>、限额以上批发和零售业</w:t>
      </w:r>
      <w:r>
        <w:rPr>
          <w:rFonts w:ascii="宋体" w:hAnsi="宋体"/>
          <w:bCs/>
          <w:color w:val="auto"/>
          <w:szCs w:val="21"/>
          <w:highlight w:val="none"/>
        </w:rPr>
        <w:t>企业</w:t>
      </w:r>
      <w:r>
        <w:rPr>
          <w:rFonts w:hint="eastAsia" w:ascii="宋体" w:hAnsi="宋体"/>
          <w:bCs/>
          <w:color w:val="auto"/>
          <w:szCs w:val="21"/>
          <w:highlight w:val="none"/>
        </w:rPr>
        <w:t>、规模以上服务业</w:t>
      </w:r>
      <w:r>
        <w:rPr>
          <w:rFonts w:hint="eastAsia" w:ascii="宋体" w:hAnsi="宋体"/>
          <w:bCs/>
          <w:color w:val="auto"/>
          <w:szCs w:val="21"/>
          <w:highlight w:val="none"/>
          <w:lang w:val="en-US" w:eastAsia="zh-CN"/>
        </w:rPr>
        <w:t>法人单位</w:t>
      </w:r>
      <w:r>
        <w:rPr>
          <w:rFonts w:hint="eastAsia" w:ascii="宋体" w:hAnsi="宋体"/>
          <w:bCs/>
          <w:color w:val="auto"/>
          <w:szCs w:val="21"/>
          <w:highlight w:val="none"/>
        </w:rPr>
        <w:t>。</w:t>
      </w:r>
      <w:r>
        <w:rPr>
          <w:rFonts w:hint="eastAsia" w:ascii="宋体" w:hAnsi="宋体"/>
          <w:bCs/>
          <w:color w:val="auto"/>
          <w:szCs w:val="21"/>
          <w:highlight w:val="none"/>
          <w:lang w:val="en-US" w:eastAsia="zh-CN"/>
        </w:rPr>
        <w:t>其中，</w:t>
      </w:r>
    </w:p>
    <w:p>
      <w:pPr>
        <w:snapToGrid w:val="0"/>
        <w:spacing w:line="500" w:lineRule="exact"/>
        <w:ind w:firstLine="420" w:firstLineChars="200"/>
        <w:rPr>
          <w:rFonts w:hint="eastAsia" w:ascii="宋体" w:hAnsi="宋体" w:eastAsia="宋体"/>
          <w:color w:val="auto"/>
          <w:szCs w:val="21"/>
          <w:highlight w:val="none"/>
          <w:lang w:eastAsia="zh-CN"/>
        </w:rPr>
      </w:pPr>
      <w:r>
        <w:rPr>
          <w:rFonts w:hint="eastAsia" w:ascii="汉仪书宋二S" w:hAnsi="汉仪书宋二S" w:eastAsia="汉仪书宋二S" w:cs="汉仪书宋二S"/>
          <w:bCs/>
          <w:color w:val="auto"/>
          <w:szCs w:val="21"/>
          <w:highlight w:val="none"/>
        </w:rPr>
        <w:t>①</w:t>
      </w:r>
      <w:r>
        <w:rPr>
          <w:rFonts w:hint="eastAsia" w:ascii="宋体" w:hAnsi="宋体"/>
          <w:bCs/>
          <w:color w:val="auto"/>
          <w:szCs w:val="21"/>
          <w:highlight w:val="none"/>
        </w:rPr>
        <w:t>规模以上工业</w:t>
      </w:r>
      <w:r>
        <w:rPr>
          <w:rFonts w:hint="eastAsia" w:ascii="宋体" w:hAnsi="宋体"/>
          <w:bCs/>
          <w:color w:val="auto"/>
          <w:szCs w:val="21"/>
          <w:highlight w:val="none"/>
          <w:lang w:val="en-US" w:eastAsia="zh-CN"/>
        </w:rPr>
        <w:t>法人单位指</w:t>
      </w:r>
      <w:r>
        <w:rPr>
          <w:rFonts w:hint="eastAsia" w:ascii="宋体" w:hAnsi="宋体"/>
          <w:color w:val="auto"/>
          <w:szCs w:val="21"/>
          <w:highlight w:val="none"/>
        </w:rPr>
        <w:t>年主营业务收入2000万元及以上的工业</w:t>
      </w:r>
      <w:r>
        <w:rPr>
          <w:rFonts w:hint="default" w:ascii="宋体" w:hAnsi="宋体"/>
          <w:color w:val="auto"/>
          <w:szCs w:val="21"/>
          <w:highlight w:val="none"/>
          <w:lang w:val="en-US"/>
        </w:rPr>
        <w:t>法人单位</w:t>
      </w:r>
      <w:r>
        <w:rPr>
          <w:rFonts w:hint="eastAsia" w:ascii="宋体" w:hAnsi="宋体"/>
          <w:color w:val="auto"/>
          <w:szCs w:val="21"/>
          <w:highlight w:val="none"/>
          <w:lang w:eastAsia="zh-CN"/>
        </w:rPr>
        <w:t>；</w:t>
      </w:r>
    </w:p>
    <w:p>
      <w:pPr>
        <w:snapToGrid w:val="0"/>
        <w:spacing w:line="500" w:lineRule="exact"/>
        <w:ind w:firstLine="420" w:firstLineChars="200"/>
        <w:rPr>
          <w:rFonts w:hint="eastAsia" w:ascii="宋体" w:hAnsi="宋体" w:eastAsia="宋体" w:cs="宋体"/>
          <w:color w:val="auto"/>
          <w:kern w:val="0"/>
          <w:szCs w:val="21"/>
          <w:highlight w:val="none"/>
          <w:lang w:eastAsia="zh-CN"/>
        </w:rPr>
      </w:pPr>
      <w:r>
        <w:rPr>
          <w:rFonts w:hint="eastAsia" w:ascii="汉仪书宋二S" w:hAnsi="汉仪书宋二S" w:eastAsia="汉仪书宋二S" w:cs="汉仪书宋二S"/>
          <w:color w:val="auto"/>
          <w:szCs w:val="21"/>
          <w:highlight w:val="none"/>
          <w:lang w:val="en-US" w:eastAsia="zh-CN"/>
        </w:rPr>
        <w:t>②</w:t>
      </w:r>
      <w:r>
        <w:rPr>
          <w:rFonts w:hint="eastAsia" w:ascii="宋体" w:hAnsi="宋体"/>
          <w:bCs/>
          <w:color w:val="auto"/>
          <w:szCs w:val="21"/>
          <w:highlight w:val="none"/>
        </w:rPr>
        <w:t>限额以上批发和零售业</w:t>
      </w:r>
      <w:r>
        <w:rPr>
          <w:rFonts w:hint="eastAsia" w:ascii="宋体" w:hAnsi="宋体"/>
          <w:bCs/>
          <w:color w:val="auto"/>
          <w:szCs w:val="21"/>
          <w:highlight w:val="none"/>
          <w:lang w:val="en-US" w:eastAsia="zh-CN"/>
        </w:rPr>
        <w:t>企业指</w:t>
      </w:r>
      <w:r>
        <w:rPr>
          <w:rFonts w:hint="eastAsia" w:ascii="宋体" w:hAnsi="宋体" w:cs="宋体"/>
          <w:color w:val="auto"/>
          <w:kern w:val="0"/>
          <w:szCs w:val="21"/>
          <w:highlight w:val="none"/>
        </w:rPr>
        <w:t>年主营业务收入2000万元及以上的批发业、年主营业务收入500万元及以上的零售业</w:t>
      </w:r>
      <w:r>
        <w:rPr>
          <w:rFonts w:hint="eastAsia" w:ascii="宋体" w:hAnsi="宋体" w:cs="宋体"/>
          <w:color w:val="auto"/>
          <w:kern w:val="0"/>
          <w:szCs w:val="21"/>
          <w:highlight w:val="none"/>
          <w:lang w:val="en-US" w:eastAsia="zh-CN"/>
        </w:rPr>
        <w:t>企业</w:t>
      </w:r>
      <w:r>
        <w:rPr>
          <w:rFonts w:hint="eastAsia" w:ascii="宋体" w:hAnsi="宋体" w:cs="宋体"/>
          <w:color w:val="auto"/>
          <w:kern w:val="0"/>
          <w:szCs w:val="21"/>
          <w:highlight w:val="none"/>
          <w:lang w:eastAsia="zh-CN"/>
        </w:rPr>
        <w:t>；</w:t>
      </w:r>
    </w:p>
    <w:p>
      <w:pPr>
        <w:snapToGrid w:val="0"/>
        <w:spacing w:line="500" w:lineRule="exact"/>
        <w:ind w:firstLine="420" w:firstLineChars="200"/>
        <w:rPr>
          <w:rFonts w:hint="eastAsia" w:ascii="宋体" w:cs="宋体"/>
          <w:color w:val="auto"/>
          <w:highlight w:val="none"/>
        </w:rPr>
      </w:pPr>
      <w:r>
        <w:rPr>
          <w:rFonts w:hint="default" w:ascii="汉仪书宋二S" w:hAnsi="汉仪书宋二S" w:eastAsia="汉仪书宋二S" w:cs="汉仪书宋二S"/>
          <w:color w:val="auto"/>
          <w:szCs w:val="21"/>
          <w:highlight w:val="none"/>
          <w:lang w:val="en-US" w:eastAsia="zh-CN"/>
        </w:rPr>
        <w:t>③</w:t>
      </w:r>
      <w:r>
        <w:rPr>
          <w:rFonts w:hint="eastAsia" w:ascii="宋体" w:hAnsi="宋体"/>
          <w:bCs/>
          <w:color w:val="auto"/>
          <w:szCs w:val="21"/>
          <w:highlight w:val="none"/>
        </w:rPr>
        <w:t>规模以上服务业</w:t>
      </w:r>
      <w:r>
        <w:rPr>
          <w:rFonts w:hint="eastAsia" w:ascii="宋体" w:hAnsi="宋体"/>
          <w:bCs/>
          <w:color w:val="auto"/>
          <w:szCs w:val="21"/>
          <w:highlight w:val="none"/>
          <w:lang w:val="en-US" w:eastAsia="zh-CN"/>
        </w:rPr>
        <w:t>法人单位</w:t>
      </w:r>
      <w:r>
        <w:rPr>
          <w:rFonts w:hint="eastAsia" w:ascii="宋体" w:hAnsi="宋体"/>
          <w:bCs/>
          <w:color w:val="auto"/>
          <w:szCs w:val="21"/>
          <w:highlight w:val="none"/>
        </w:rPr>
        <w:t>：</w:t>
      </w:r>
      <w:r>
        <w:rPr>
          <w:rFonts w:hint="eastAsia" w:ascii="宋体" w:cs="宋体"/>
          <w:color w:val="auto"/>
          <w:highlight w:val="none"/>
        </w:rPr>
        <w:t>年营业收入2000万元及以上服务业法人单位，包括交通运输、仓储和邮政业，信息传输、软件和信息技术服务业，水利、环境和公共设施管理业三个</w:t>
      </w:r>
      <w:r>
        <w:rPr>
          <w:rFonts w:ascii="宋体" w:cs="宋体"/>
          <w:color w:val="auto"/>
          <w:highlight w:val="none"/>
        </w:rPr>
        <w:t>门类</w:t>
      </w:r>
      <w:r>
        <w:rPr>
          <w:rFonts w:hint="eastAsia" w:ascii="宋体" w:cs="宋体"/>
          <w:color w:val="auto"/>
          <w:highlight w:val="none"/>
        </w:rPr>
        <w:t>和</w:t>
      </w:r>
      <w:r>
        <w:rPr>
          <w:rFonts w:ascii="宋体" w:cs="宋体"/>
          <w:color w:val="auto"/>
          <w:highlight w:val="none"/>
        </w:rPr>
        <w:t>卫生</w:t>
      </w:r>
      <w:r>
        <w:rPr>
          <w:rFonts w:hint="eastAsia" w:ascii="宋体" w:cs="宋体"/>
          <w:color w:val="auto"/>
          <w:highlight w:val="none"/>
        </w:rPr>
        <w:t>行业大类；</w:t>
      </w:r>
      <w:r>
        <w:rPr>
          <w:rFonts w:ascii="宋体" w:cs="宋体"/>
          <w:color w:val="auto"/>
          <w:highlight w:val="none"/>
        </w:rPr>
        <w:t>年营业收入</w:t>
      </w:r>
      <w:r>
        <w:rPr>
          <w:rFonts w:hint="eastAsia" w:ascii="宋体" w:cs="宋体"/>
          <w:color w:val="auto"/>
          <w:highlight w:val="none"/>
        </w:rPr>
        <w:t>1000万元</w:t>
      </w:r>
      <w:r>
        <w:rPr>
          <w:rFonts w:ascii="宋体" w:cs="宋体"/>
          <w:color w:val="auto"/>
          <w:highlight w:val="none"/>
        </w:rPr>
        <w:t>及以上服务业法人单位</w:t>
      </w:r>
      <w:r>
        <w:rPr>
          <w:rFonts w:hint="eastAsia" w:ascii="宋体" w:cs="宋体"/>
          <w:color w:val="auto"/>
          <w:highlight w:val="none"/>
        </w:rPr>
        <w:t>，包括租赁</w:t>
      </w:r>
      <w:r>
        <w:rPr>
          <w:rFonts w:ascii="宋体" w:cs="宋体"/>
          <w:color w:val="auto"/>
          <w:highlight w:val="none"/>
        </w:rPr>
        <w:t>和</w:t>
      </w:r>
      <w:r>
        <w:rPr>
          <w:rFonts w:hint="eastAsia" w:ascii="宋体" w:cs="宋体"/>
          <w:color w:val="auto"/>
          <w:highlight w:val="none"/>
        </w:rPr>
        <w:t>商务</w:t>
      </w:r>
      <w:r>
        <w:rPr>
          <w:rFonts w:ascii="宋体" w:cs="宋体"/>
          <w:color w:val="auto"/>
          <w:highlight w:val="none"/>
        </w:rPr>
        <w:t>服务业、</w:t>
      </w:r>
      <w:r>
        <w:rPr>
          <w:rFonts w:hint="eastAsia" w:ascii="宋体" w:cs="宋体"/>
          <w:color w:val="auto"/>
          <w:highlight w:val="none"/>
        </w:rPr>
        <w:t>科学</w:t>
      </w:r>
      <w:r>
        <w:rPr>
          <w:rFonts w:ascii="宋体" w:cs="宋体"/>
          <w:color w:val="auto"/>
          <w:highlight w:val="none"/>
        </w:rPr>
        <w:t>研究和技术服务业、</w:t>
      </w:r>
      <w:r>
        <w:rPr>
          <w:rFonts w:hint="eastAsia" w:ascii="宋体" w:cs="宋体"/>
          <w:color w:val="auto"/>
          <w:highlight w:val="none"/>
        </w:rPr>
        <w:t>教育三个</w:t>
      </w:r>
      <w:r>
        <w:rPr>
          <w:rFonts w:ascii="宋体" w:cs="宋体"/>
          <w:color w:val="auto"/>
          <w:highlight w:val="none"/>
        </w:rPr>
        <w:t>门类，以及</w:t>
      </w:r>
      <w:r>
        <w:rPr>
          <w:rFonts w:hint="eastAsia" w:ascii="宋体" w:cs="宋体"/>
          <w:color w:val="auto"/>
          <w:highlight w:val="none"/>
        </w:rPr>
        <w:t>物业管理、</w:t>
      </w:r>
      <w:r>
        <w:rPr>
          <w:rFonts w:ascii="宋体" w:cs="宋体"/>
          <w:color w:val="auto"/>
          <w:highlight w:val="none"/>
        </w:rPr>
        <w:t>房地产中介服务</w:t>
      </w:r>
      <w:r>
        <w:rPr>
          <w:rFonts w:hint="eastAsia" w:ascii="宋体" w:cs="宋体"/>
          <w:color w:val="auto"/>
          <w:highlight w:val="none"/>
        </w:rPr>
        <w:t>、</w:t>
      </w:r>
      <w:r>
        <w:rPr>
          <w:rFonts w:ascii="宋体" w:cs="宋体"/>
          <w:color w:val="auto"/>
          <w:highlight w:val="none"/>
        </w:rPr>
        <w:t>房地产租赁经营和其他房地产业</w:t>
      </w:r>
      <w:r>
        <w:rPr>
          <w:rFonts w:hint="eastAsia" w:ascii="宋体" w:cs="宋体"/>
          <w:color w:val="auto"/>
          <w:highlight w:val="none"/>
        </w:rPr>
        <w:t>四个行业</w:t>
      </w:r>
      <w:r>
        <w:rPr>
          <w:rFonts w:ascii="宋体" w:cs="宋体"/>
          <w:color w:val="auto"/>
          <w:highlight w:val="none"/>
        </w:rPr>
        <w:t>小类</w:t>
      </w:r>
      <w:r>
        <w:rPr>
          <w:rFonts w:hint="eastAsia" w:ascii="宋体" w:cs="宋体"/>
          <w:color w:val="auto"/>
          <w:highlight w:val="none"/>
        </w:rPr>
        <w:t>；年营业收入500万元及以上服务业</w:t>
      </w:r>
      <w:r>
        <w:rPr>
          <w:rFonts w:ascii="宋体" w:cs="宋体"/>
          <w:color w:val="auto"/>
          <w:highlight w:val="none"/>
        </w:rPr>
        <w:t>法人单位</w:t>
      </w:r>
      <w:r>
        <w:rPr>
          <w:rFonts w:hint="eastAsia" w:ascii="宋体" w:cs="宋体"/>
          <w:color w:val="auto"/>
          <w:highlight w:val="none"/>
        </w:rPr>
        <w:t>，包括居民服务、修理和其他服务业，文化、体育和娱乐业两个</w:t>
      </w:r>
      <w:r>
        <w:rPr>
          <w:rFonts w:ascii="宋体" w:cs="宋体"/>
          <w:color w:val="auto"/>
          <w:highlight w:val="none"/>
        </w:rPr>
        <w:t>门类</w:t>
      </w:r>
      <w:r>
        <w:rPr>
          <w:rFonts w:hint="eastAsia" w:ascii="宋体" w:cs="宋体"/>
          <w:color w:val="auto"/>
          <w:highlight w:val="none"/>
        </w:rPr>
        <w:t>，以及社会</w:t>
      </w:r>
      <w:r>
        <w:rPr>
          <w:rFonts w:ascii="宋体" w:cs="宋体"/>
          <w:color w:val="auto"/>
          <w:highlight w:val="none"/>
        </w:rPr>
        <w:t>工作</w:t>
      </w:r>
      <w:r>
        <w:rPr>
          <w:rFonts w:hint="eastAsia" w:ascii="宋体" w:cs="宋体"/>
          <w:color w:val="auto"/>
          <w:highlight w:val="none"/>
        </w:rPr>
        <w:t>行业</w:t>
      </w:r>
      <w:r>
        <w:rPr>
          <w:rFonts w:ascii="宋体" w:cs="宋体"/>
          <w:color w:val="auto"/>
          <w:highlight w:val="none"/>
        </w:rPr>
        <w:t>大类</w:t>
      </w:r>
      <w:r>
        <w:rPr>
          <w:rFonts w:hint="eastAsia" w:ascii="宋体" w:cs="宋体"/>
          <w:color w:val="auto"/>
          <w:highlight w:val="none"/>
        </w:rPr>
        <w:t>。</w:t>
      </w:r>
    </w:p>
    <w:p>
      <w:pPr>
        <w:snapToGrid w:val="0"/>
        <w:spacing w:line="500" w:lineRule="exact"/>
        <w:ind w:firstLine="420" w:firstLineChars="200"/>
        <w:rPr>
          <w:rFonts w:ascii="宋体" w:hAnsi="宋体" w:cs="宋体"/>
          <w:color w:val="auto"/>
          <w:kern w:val="0"/>
          <w:szCs w:val="21"/>
          <w:highlight w:val="yellow"/>
        </w:rPr>
      </w:pPr>
      <w:r>
        <w:rPr>
          <w:rFonts w:hint="default" w:ascii="宋体" w:hAnsi="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四下</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调查单位</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指不满足上述“四上”规模标准，但</w:t>
      </w:r>
      <w:r>
        <w:rPr>
          <w:rFonts w:hint="eastAsia" w:ascii="宋体" w:hAnsi="宋体" w:cs="宋体"/>
          <w:color w:val="auto"/>
          <w:kern w:val="0"/>
          <w:szCs w:val="21"/>
          <w:highlight w:val="none"/>
        </w:rPr>
        <w:t>符合《海南省高新技术产业统计分类目录（</w:t>
      </w:r>
      <w:r>
        <w:rPr>
          <w:rFonts w:hint="eastAsia" w:ascii="宋体" w:hAnsi="宋体" w:cs="宋体"/>
          <w:color w:val="auto"/>
          <w:kern w:val="0"/>
          <w:szCs w:val="21"/>
          <w:highlight w:val="none"/>
          <w:lang w:val="en-US" w:eastAsia="zh-CN"/>
        </w:rPr>
        <w:t>2026年</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且属于</w:t>
      </w:r>
      <w:r>
        <w:rPr>
          <w:rFonts w:hint="eastAsia" w:ascii="宋体" w:hAnsi="宋体" w:cs="宋体"/>
          <w:color w:val="auto"/>
          <w:kern w:val="0"/>
          <w:szCs w:val="21"/>
          <w:highlight w:val="none"/>
        </w:rPr>
        <w:t>经省科技厅认定的海南省高新技术企业</w:t>
      </w:r>
      <w:r>
        <w:rPr>
          <w:rFonts w:hint="eastAsia" w:ascii="宋体" w:hAnsi="宋体" w:cs="宋体"/>
          <w:color w:val="auto"/>
          <w:kern w:val="0"/>
          <w:szCs w:val="21"/>
          <w:highlight w:val="none"/>
          <w:lang w:val="en-US" w:eastAsia="zh-CN"/>
        </w:rPr>
        <w:t>。</w:t>
      </w:r>
    </w:p>
    <w:p>
      <w:pPr>
        <w:adjustRightInd w:val="0"/>
        <w:snapToGrid w:val="0"/>
        <w:spacing w:line="500" w:lineRule="exact"/>
        <w:ind w:firstLine="420" w:firstLineChars="200"/>
        <w:textAlignment w:val="baseline"/>
        <w:outlineLvl w:val="9"/>
        <w:rPr>
          <w:rFonts w:hint="eastAsia" w:ascii="宋体" w:eastAsia="Times New Roman" w:cs="宋体"/>
          <w:color w:val="auto"/>
          <w:highlight w:val="none"/>
        </w:rPr>
      </w:pPr>
      <w:r>
        <w:rPr>
          <w:rFonts w:hint="eastAsia" w:ascii="宋体" w:cs="宋体"/>
          <w:color w:val="auto"/>
          <w:highlight w:val="none"/>
        </w:rPr>
        <w:t>（三）上报频率：季报。</w:t>
      </w:r>
    </w:p>
    <w:p>
      <w:pPr>
        <w:adjustRightInd w:val="0"/>
        <w:snapToGrid w:val="0"/>
        <w:spacing w:line="500" w:lineRule="exact"/>
        <w:ind w:firstLine="420" w:firstLineChars="200"/>
        <w:textAlignment w:val="baseline"/>
        <w:rPr>
          <w:rFonts w:ascii="宋体" w:cs="宋体"/>
          <w:color w:val="auto"/>
          <w:highlight w:val="none"/>
        </w:rPr>
      </w:pPr>
      <w:r>
        <w:rPr>
          <w:rFonts w:hint="eastAsia" w:ascii="宋体" w:cs="宋体"/>
          <w:color w:val="auto"/>
          <w:highlight w:val="none"/>
        </w:rPr>
        <w:t>（四）填报要求：</w:t>
      </w:r>
    </w:p>
    <w:p>
      <w:pPr>
        <w:snapToGrid w:val="0"/>
        <w:spacing w:line="500" w:lineRule="exact"/>
        <w:ind w:firstLine="420" w:firstLineChars="200"/>
        <w:rPr>
          <w:rFonts w:hint="default" w:ascii="宋体" w:cs="宋体"/>
          <w:color w:val="auto"/>
          <w:highlight w:val="none"/>
        </w:rPr>
      </w:pPr>
      <w:r>
        <w:rPr>
          <w:rFonts w:hint="eastAsia" w:ascii="宋体" w:cs="宋体"/>
          <w:color w:val="auto"/>
          <w:highlight w:val="none"/>
          <w:lang w:val="en-US" w:eastAsia="zh-CN"/>
        </w:rPr>
        <w:t>1.</w:t>
      </w:r>
      <w:r>
        <w:rPr>
          <w:rFonts w:hint="eastAsia" w:ascii="宋体" w:cs="宋体"/>
          <w:color w:val="auto"/>
          <w:highlight w:val="none"/>
        </w:rPr>
        <w:t>高新技术产业经营情况综合表（</w:t>
      </w:r>
      <w:r>
        <w:rPr>
          <w:rFonts w:hint="eastAsia" w:ascii="宋体" w:cs="宋体"/>
          <w:color w:val="auto"/>
          <w:highlight w:val="none"/>
          <w:lang w:eastAsia="zh-CN"/>
        </w:rPr>
        <w:t>“四上”</w:t>
      </w:r>
      <w:r>
        <w:rPr>
          <w:rFonts w:hint="eastAsia" w:ascii="宋体" w:cs="宋体"/>
          <w:color w:val="auto"/>
          <w:highlight w:val="none"/>
          <w:lang w:val="en-US" w:eastAsia="zh-CN"/>
        </w:rPr>
        <w:t>调查单位</w:t>
      </w:r>
      <w:r>
        <w:rPr>
          <w:rFonts w:hint="eastAsia" w:ascii="宋体" w:cs="宋体"/>
          <w:color w:val="auto"/>
          <w:highlight w:val="none"/>
        </w:rPr>
        <w:t>）</w:t>
      </w:r>
      <w:r>
        <w:rPr>
          <w:rFonts w:hint="eastAsia" w:ascii="宋体" w:hAnsi="Times New Roman" w:eastAsia="宋体" w:cs="宋体"/>
          <w:color w:val="auto"/>
          <w:highlight w:val="none"/>
        </w:rPr>
        <w:t>（</w:t>
      </w:r>
      <w:r>
        <w:rPr>
          <w:rFonts w:hint="eastAsia" w:ascii="宋体" w:hAnsi="Times New Roman" w:eastAsia="宋体" w:cs="宋体"/>
          <w:color w:val="auto"/>
          <w:sz w:val="21"/>
          <w:szCs w:val="24"/>
          <w:highlight w:val="none"/>
        </w:rPr>
        <w:t>GC101表）</w:t>
      </w:r>
      <w:r>
        <w:rPr>
          <w:rFonts w:hint="eastAsia" w:ascii="宋体" w:hAnsi="Times New Roman" w:eastAsia="宋体" w:cs="宋体"/>
          <w:color w:val="auto"/>
          <w:highlight w:val="none"/>
        </w:rPr>
        <w:t>由</w:t>
      </w:r>
      <w:r>
        <w:rPr>
          <w:rFonts w:hint="eastAsia" w:ascii="宋体" w:cs="宋体"/>
          <w:color w:val="auto"/>
          <w:highlight w:val="none"/>
        </w:rPr>
        <w:t>省统计局</w:t>
      </w:r>
      <w:r>
        <w:rPr>
          <w:rFonts w:hint="eastAsia" w:ascii="宋体" w:cs="宋体"/>
          <w:color w:val="auto"/>
          <w:highlight w:val="none"/>
          <w:lang w:val="en-US" w:eastAsia="zh-CN"/>
        </w:rPr>
        <w:t>根据国家统计局</w:t>
      </w:r>
      <w:r>
        <w:rPr>
          <w:rFonts w:ascii="宋体" w:cs="宋体"/>
          <w:color w:val="auto"/>
          <w:highlight w:val="none"/>
        </w:rPr>
        <w:t>现</w:t>
      </w:r>
      <w:r>
        <w:rPr>
          <w:rFonts w:hint="eastAsia" w:ascii="宋体" w:cs="宋体"/>
          <w:color w:val="auto"/>
          <w:highlight w:val="none"/>
          <w:lang w:val="en-US" w:eastAsia="zh-CN"/>
        </w:rPr>
        <w:t>行</w:t>
      </w:r>
      <w:r>
        <w:rPr>
          <w:rFonts w:ascii="宋体" w:cs="宋体"/>
          <w:color w:val="auto"/>
          <w:highlight w:val="none"/>
        </w:rPr>
        <w:t>统计制度</w:t>
      </w:r>
      <w:r>
        <w:rPr>
          <w:rFonts w:hint="eastAsia" w:ascii="宋体" w:cs="宋体"/>
          <w:color w:val="auto"/>
          <w:highlight w:val="none"/>
          <w:lang w:eastAsia="zh-CN"/>
        </w:rPr>
        <w:t>，</w:t>
      </w:r>
      <w:r>
        <w:rPr>
          <w:rFonts w:hint="eastAsia" w:ascii="宋体" w:cs="宋体"/>
          <w:color w:val="auto"/>
          <w:highlight w:val="none"/>
        </w:rPr>
        <w:t>按季度</w:t>
      </w:r>
      <w:r>
        <w:rPr>
          <w:rFonts w:ascii="宋体" w:cs="宋体"/>
          <w:color w:val="auto"/>
          <w:highlight w:val="none"/>
        </w:rPr>
        <w:t>整理汇总</w:t>
      </w:r>
      <w:r>
        <w:rPr>
          <w:rFonts w:hint="eastAsia" w:ascii="宋体" w:cs="宋体"/>
          <w:color w:val="auto"/>
          <w:highlight w:val="none"/>
        </w:rPr>
        <w:t>，于</w:t>
      </w:r>
      <w:r>
        <w:rPr>
          <w:rFonts w:hint="eastAsia" w:ascii="宋体" w:cs="宋体"/>
          <w:color w:val="auto"/>
          <w:highlight w:val="none"/>
          <w:lang w:val="en-US" w:eastAsia="zh-CN"/>
        </w:rPr>
        <w:t>季后23日（即</w:t>
      </w:r>
      <w:r>
        <w:rPr>
          <w:rFonts w:hint="eastAsia" w:ascii="宋体" w:cs="宋体"/>
          <w:color w:val="auto"/>
          <w:highlight w:val="none"/>
        </w:rPr>
        <w:t>4月、7月、10月</w:t>
      </w:r>
      <w:r>
        <w:rPr>
          <w:rFonts w:hint="eastAsia" w:ascii="宋体" w:cs="宋体"/>
          <w:color w:val="auto"/>
          <w:highlight w:val="none"/>
          <w:lang w:val="en-US" w:eastAsia="zh-CN"/>
        </w:rPr>
        <w:t>和</w:t>
      </w:r>
      <w:r>
        <w:rPr>
          <w:rFonts w:hint="eastAsia" w:ascii="宋体" w:cs="宋体"/>
          <w:color w:val="auto"/>
          <w:highlight w:val="none"/>
        </w:rPr>
        <w:t>次年1月</w:t>
      </w:r>
      <w:r>
        <w:rPr>
          <w:rFonts w:hint="eastAsia" w:ascii="宋体" w:cs="宋体"/>
          <w:color w:val="auto"/>
          <w:highlight w:val="none"/>
          <w:lang w:val="en-US" w:eastAsia="zh-CN"/>
        </w:rPr>
        <w:t>）前报送至省工信厅</w:t>
      </w:r>
      <w:r>
        <w:rPr>
          <w:rFonts w:hint="default" w:ascii="宋体" w:cs="宋体"/>
          <w:color w:val="auto"/>
          <w:highlight w:val="none"/>
        </w:rPr>
        <w:t>。</w:t>
      </w:r>
    </w:p>
    <w:p>
      <w:pPr>
        <w:snapToGrid w:val="0"/>
        <w:spacing w:line="500" w:lineRule="exact"/>
        <w:ind w:firstLine="420" w:firstLineChars="200"/>
        <w:rPr>
          <w:rFonts w:hint="eastAsia" w:ascii="宋体" w:cs="宋体"/>
          <w:color w:val="auto"/>
          <w:highlight w:val="none"/>
        </w:rPr>
      </w:pPr>
      <w:r>
        <w:rPr>
          <w:rFonts w:hint="eastAsia" w:ascii="宋体" w:eastAsia="宋体" w:cs="宋体"/>
          <w:color w:val="auto"/>
          <w:highlight w:val="none"/>
          <w:lang w:val="en-US" w:eastAsia="zh-CN"/>
        </w:rPr>
        <w:t>2</w:t>
      </w:r>
      <w:r>
        <w:rPr>
          <w:rFonts w:hint="eastAsia" w:ascii="宋体" w:eastAsia="宋体" w:cs="宋体"/>
          <w:color w:val="auto"/>
          <w:highlight w:val="none"/>
          <w:lang w:eastAsia="zh-CN"/>
        </w:rPr>
        <w:t>.</w:t>
      </w:r>
      <w:r>
        <w:rPr>
          <w:rFonts w:hint="eastAsia" w:ascii="宋体" w:hAnsi="Times New Roman" w:eastAsia="宋体" w:cs="宋体"/>
          <w:color w:val="auto"/>
          <w:kern w:val="2"/>
          <w:sz w:val="21"/>
          <w:szCs w:val="24"/>
          <w:highlight w:val="none"/>
        </w:rPr>
        <w:t>高新技术产业经营情况综合表（</w:t>
      </w:r>
      <w:r>
        <w:rPr>
          <w:rFonts w:hint="eastAsia" w:ascii="宋体" w:cs="宋体"/>
          <w:color w:val="auto"/>
          <w:kern w:val="2"/>
          <w:sz w:val="21"/>
          <w:szCs w:val="24"/>
          <w:highlight w:val="none"/>
          <w:lang w:eastAsia="zh-CN"/>
        </w:rPr>
        <w:t>“四下”</w:t>
      </w:r>
      <w:r>
        <w:rPr>
          <w:rFonts w:hint="eastAsia" w:ascii="宋体" w:cs="宋体"/>
          <w:color w:val="auto"/>
          <w:kern w:val="2"/>
          <w:sz w:val="21"/>
          <w:szCs w:val="24"/>
          <w:highlight w:val="none"/>
          <w:lang w:val="en-US" w:eastAsia="zh-CN"/>
        </w:rPr>
        <w:t>调查单位</w:t>
      </w:r>
      <w:r>
        <w:rPr>
          <w:rFonts w:hint="eastAsia" w:ascii="宋体" w:hAnsi="Times New Roman" w:eastAsia="宋体" w:cs="宋体"/>
          <w:color w:val="auto"/>
          <w:kern w:val="2"/>
          <w:sz w:val="21"/>
          <w:szCs w:val="24"/>
          <w:highlight w:val="none"/>
        </w:rPr>
        <w:t>）</w:t>
      </w:r>
      <w:r>
        <w:rPr>
          <w:rFonts w:hint="eastAsia" w:ascii="宋体" w:eastAsia="宋体" w:cs="宋体"/>
          <w:color w:val="auto"/>
          <w:highlight w:val="none"/>
        </w:rPr>
        <w:t>（</w:t>
      </w:r>
      <w:r>
        <w:rPr>
          <w:rFonts w:hint="eastAsia" w:ascii="宋体" w:hAnsi="Times New Roman" w:eastAsia="宋体" w:cs="宋体"/>
          <w:color w:val="auto"/>
          <w:sz w:val="21"/>
          <w:szCs w:val="24"/>
          <w:highlight w:val="none"/>
        </w:rPr>
        <w:t>GC10</w:t>
      </w:r>
      <w:r>
        <w:rPr>
          <w:rFonts w:hint="eastAsia" w:ascii="宋体" w:hAnsi="Times New Roman" w:eastAsia="宋体" w:cs="宋体"/>
          <w:color w:val="auto"/>
          <w:sz w:val="21"/>
          <w:szCs w:val="24"/>
          <w:highlight w:val="none"/>
          <w:lang w:val="en-US" w:eastAsia="zh-CN"/>
        </w:rPr>
        <w:t>2</w:t>
      </w:r>
      <w:r>
        <w:rPr>
          <w:rFonts w:hint="eastAsia" w:ascii="宋体" w:hAnsi="Times New Roman" w:eastAsia="宋体" w:cs="宋体"/>
          <w:color w:val="auto"/>
          <w:sz w:val="21"/>
          <w:szCs w:val="24"/>
          <w:highlight w:val="none"/>
        </w:rPr>
        <w:t>表）</w:t>
      </w:r>
      <w:r>
        <w:rPr>
          <w:rFonts w:hint="eastAsia" w:ascii="宋体" w:eastAsia="宋体" w:cs="宋体"/>
          <w:color w:val="auto"/>
          <w:highlight w:val="none"/>
        </w:rPr>
        <w:t>由省科技厅</w:t>
      </w:r>
      <w:r>
        <w:rPr>
          <w:rFonts w:hint="eastAsia" w:ascii="宋体" w:cs="宋体"/>
          <w:color w:val="auto"/>
          <w:highlight w:val="none"/>
          <w:lang w:val="en-US" w:eastAsia="zh-CN"/>
        </w:rPr>
        <w:t>根据</w:t>
      </w:r>
      <w:r>
        <w:rPr>
          <w:rFonts w:hint="eastAsia" w:ascii="宋体" w:cs="宋体"/>
          <w:color w:val="auto"/>
          <w:highlight w:val="none"/>
        </w:rPr>
        <w:t>《海南省科技业务综合管理系统高新技术企业季度调查表》</w:t>
      </w:r>
      <w:r>
        <w:rPr>
          <w:rFonts w:hint="eastAsia" w:ascii="宋体" w:cs="宋体"/>
          <w:color w:val="auto"/>
          <w:highlight w:val="none"/>
          <w:lang w:eastAsia="zh-CN"/>
        </w:rPr>
        <w:t>，</w:t>
      </w:r>
      <w:r>
        <w:rPr>
          <w:rFonts w:hint="eastAsia" w:ascii="宋体" w:eastAsia="宋体" w:cs="宋体"/>
          <w:color w:val="auto"/>
          <w:highlight w:val="none"/>
        </w:rPr>
        <w:t>按季度</w:t>
      </w:r>
      <w:r>
        <w:rPr>
          <w:rFonts w:hint="eastAsia" w:ascii="宋体" w:cs="宋体"/>
          <w:color w:val="auto"/>
          <w:highlight w:val="none"/>
          <w:lang w:val="en-US" w:eastAsia="zh-CN"/>
        </w:rPr>
        <w:t>筛选符合本制度确定的</w:t>
      </w:r>
      <w:r>
        <w:rPr>
          <w:rFonts w:hint="eastAsia" w:ascii="宋体" w:eastAsia="宋体" w:cs="宋体"/>
          <w:color w:val="auto"/>
          <w:highlight w:val="none"/>
        </w:rPr>
        <w:t>“</w:t>
      </w:r>
      <w:r>
        <w:rPr>
          <w:rFonts w:hint="eastAsia" w:ascii="宋体" w:cs="宋体"/>
          <w:color w:val="auto"/>
          <w:highlight w:val="none"/>
          <w:lang w:eastAsia="zh-CN"/>
        </w:rPr>
        <w:t>四下</w:t>
      </w:r>
      <w:r>
        <w:rPr>
          <w:rFonts w:hint="eastAsia" w:ascii="宋体" w:eastAsia="宋体" w:cs="宋体"/>
          <w:color w:val="auto"/>
          <w:highlight w:val="none"/>
        </w:rPr>
        <w:t>”</w:t>
      </w:r>
      <w:r>
        <w:rPr>
          <w:rFonts w:hint="eastAsia" w:ascii="宋体" w:cs="宋体"/>
          <w:color w:val="auto"/>
          <w:highlight w:val="none"/>
        </w:rPr>
        <w:t>高新技术企业数据汇总</w:t>
      </w:r>
      <w:r>
        <w:rPr>
          <w:rFonts w:hint="eastAsia" w:ascii="宋体" w:eastAsia="宋体" w:cs="宋体"/>
          <w:color w:val="auto"/>
          <w:highlight w:val="none"/>
        </w:rPr>
        <w:t>提供</w:t>
      </w:r>
      <w:r>
        <w:rPr>
          <w:rFonts w:hint="eastAsia" w:ascii="宋体" w:cs="宋体"/>
          <w:color w:val="auto"/>
          <w:highlight w:val="none"/>
        </w:rPr>
        <w:t>，于</w:t>
      </w:r>
      <w:r>
        <w:rPr>
          <w:rFonts w:hint="eastAsia" w:ascii="宋体" w:cs="宋体"/>
          <w:color w:val="auto"/>
          <w:highlight w:val="none"/>
          <w:lang w:val="en-US" w:eastAsia="zh-CN"/>
        </w:rPr>
        <w:t>季后15日（即</w:t>
      </w:r>
      <w:r>
        <w:rPr>
          <w:rFonts w:hint="eastAsia" w:ascii="宋体" w:cs="宋体"/>
          <w:color w:val="auto"/>
          <w:highlight w:val="none"/>
        </w:rPr>
        <w:t>4月、7月、10月</w:t>
      </w:r>
      <w:r>
        <w:rPr>
          <w:rFonts w:hint="eastAsia" w:ascii="宋体" w:cs="宋体"/>
          <w:color w:val="auto"/>
          <w:highlight w:val="none"/>
          <w:lang w:val="en-US" w:eastAsia="zh-CN"/>
        </w:rPr>
        <w:t>和</w:t>
      </w:r>
      <w:r>
        <w:rPr>
          <w:rFonts w:hint="eastAsia" w:ascii="宋体" w:cs="宋体"/>
          <w:color w:val="auto"/>
          <w:highlight w:val="none"/>
        </w:rPr>
        <w:t>次年1月</w:t>
      </w:r>
      <w:r>
        <w:rPr>
          <w:rFonts w:hint="eastAsia" w:ascii="宋体" w:cs="宋体"/>
          <w:color w:val="auto"/>
          <w:highlight w:val="none"/>
          <w:lang w:val="en-US" w:eastAsia="zh-CN"/>
        </w:rPr>
        <w:t>）前报送至省工信厅</w:t>
      </w:r>
      <w:r>
        <w:rPr>
          <w:rFonts w:hint="default" w:ascii="宋体" w:cs="宋体"/>
          <w:color w:val="auto"/>
          <w:highlight w:val="none"/>
        </w:rPr>
        <w:t>。</w:t>
      </w:r>
    </w:p>
    <w:p>
      <w:pPr>
        <w:snapToGrid w:val="0"/>
        <w:spacing w:line="500" w:lineRule="exact"/>
        <w:ind w:firstLine="420" w:firstLineChars="200"/>
        <w:rPr>
          <w:rFonts w:hint="eastAsia" w:ascii="宋体" w:cs="宋体"/>
          <w:color w:val="auto"/>
          <w:highlight w:val="none"/>
        </w:rPr>
      </w:pPr>
      <w:r>
        <w:rPr>
          <w:rFonts w:hint="eastAsia" w:ascii="宋体" w:cs="宋体"/>
          <w:color w:val="auto"/>
          <w:highlight w:val="none"/>
          <w:lang w:val="en-US" w:eastAsia="zh-CN"/>
        </w:rPr>
        <w:t>3</w:t>
      </w:r>
      <w:r>
        <w:rPr>
          <w:rFonts w:hint="eastAsia" w:ascii="宋体" w:cs="宋体"/>
          <w:color w:val="auto"/>
          <w:highlight w:val="none"/>
          <w:lang w:eastAsia="zh-CN"/>
        </w:rPr>
        <w:t>.高新育种及服务产业单位名录</w:t>
      </w:r>
      <w:r>
        <w:rPr>
          <w:rFonts w:hint="eastAsia" w:ascii="宋体" w:hAnsi="Times New Roman" w:eastAsia="宋体" w:cs="宋体"/>
          <w:color w:val="auto"/>
          <w:sz w:val="21"/>
          <w:szCs w:val="24"/>
          <w:highlight w:val="none"/>
        </w:rPr>
        <w:t>（GC10</w:t>
      </w:r>
      <w:r>
        <w:rPr>
          <w:rFonts w:hint="eastAsia" w:ascii="宋体" w:hAnsi="Times New Roman" w:eastAsia="宋体" w:cs="宋体"/>
          <w:color w:val="auto"/>
          <w:sz w:val="21"/>
          <w:szCs w:val="24"/>
          <w:highlight w:val="none"/>
          <w:lang w:val="en-US" w:eastAsia="zh-CN"/>
        </w:rPr>
        <w:t>3</w:t>
      </w:r>
      <w:r>
        <w:rPr>
          <w:rFonts w:hint="eastAsia" w:ascii="宋体" w:hAnsi="Times New Roman" w:eastAsia="宋体" w:cs="宋体"/>
          <w:color w:val="auto"/>
          <w:sz w:val="21"/>
          <w:szCs w:val="24"/>
          <w:highlight w:val="none"/>
        </w:rPr>
        <w:t>表</w:t>
      </w:r>
      <w:r>
        <w:rPr>
          <w:rFonts w:hint="eastAsia" w:ascii="宋体" w:hAnsi="宋体"/>
          <w:color w:val="auto"/>
          <w:sz w:val="18"/>
          <w:szCs w:val="18"/>
          <w:highlight w:val="none"/>
        </w:rPr>
        <w:t>）</w:t>
      </w:r>
      <w:r>
        <w:rPr>
          <w:rFonts w:hint="eastAsia" w:ascii="宋体" w:hAnsi="宋体" w:eastAsia="宋体" w:cs="宋体"/>
          <w:color w:val="auto"/>
          <w:sz w:val="21"/>
          <w:szCs w:val="21"/>
          <w:highlight w:val="none"/>
        </w:rPr>
        <w:t>由</w:t>
      </w:r>
      <w:r>
        <w:rPr>
          <w:rFonts w:hint="eastAsia" w:ascii="宋体" w:hAnsi="宋体" w:cs="宋体"/>
          <w:color w:val="auto"/>
          <w:sz w:val="21"/>
          <w:szCs w:val="21"/>
          <w:highlight w:val="none"/>
          <w:lang w:eastAsia="zh-CN"/>
        </w:rPr>
        <w:t>省</w:t>
      </w:r>
      <w:r>
        <w:rPr>
          <w:rFonts w:hint="eastAsia" w:ascii="宋体" w:hAnsi="宋体" w:eastAsia="宋体" w:cs="宋体"/>
          <w:color w:val="auto"/>
          <w:sz w:val="21"/>
          <w:szCs w:val="21"/>
          <w:highlight w:val="none"/>
          <w:lang w:eastAsia="zh-CN"/>
        </w:rPr>
        <w:t>农业农村厅</w:t>
      </w:r>
      <w:r>
        <w:rPr>
          <w:rFonts w:hint="eastAsia" w:ascii="宋体" w:hAnsi="宋体" w:cs="宋体"/>
          <w:color w:val="auto"/>
          <w:sz w:val="21"/>
          <w:szCs w:val="21"/>
          <w:highlight w:val="none"/>
          <w:lang w:eastAsia="zh-CN"/>
        </w:rPr>
        <w:t>于</w:t>
      </w:r>
      <w:r>
        <w:rPr>
          <w:rFonts w:hint="eastAsia" w:ascii="宋体" w:hAnsi="宋体" w:cs="宋体"/>
          <w:color w:val="auto"/>
          <w:sz w:val="21"/>
          <w:szCs w:val="21"/>
          <w:highlight w:val="none"/>
          <w:lang w:val="en-US" w:eastAsia="zh-CN"/>
        </w:rPr>
        <w:t>8月、</w:t>
      </w:r>
      <w:r>
        <w:rPr>
          <w:rFonts w:hint="eastAsia" w:ascii="宋体" w:hAnsi="宋体" w:eastAsia="宋体" w:cs="宋体"/>
          <w:color w:val="auto"/>
          <w:sz w:val="21"/>
          <w:szCs w:val="21"/>
          <w:highlight w:val="none"/>
        </w:rPr>
        <w:t>次年</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eastAsia="zh-CN"/>
        </w:rPr>
        <w:t>底前提供</w:t>
      </w:r>
      <w:r>
        <w:rPr>
          <w:rFonts w:hint="eastAsia" w:ascii="宋体" w:hAnsi="宋体" w:cs="宋体"/>
          <w:color w:val="auto"/>
          <w:szCs w:val="21"/>
          <w:highlight w:val="none"/>
        </w:rPr>
        <w:t>《海南省南繁产业统计监测制度》调查单位</w:t>
      </w:r>
      <w:r>
        <w:rPr>
          <w:rFonts w:hint="eastAsia" w:ascii="宋体" w:hAnsi="宋体" w:cs="宋体"/>
          <w:color w:val="auto"/>
          <w:szCs w:val="21"/>
          <w:highlight w:val="none"/>
          <w:lang w:eastAsia="zh-CN"/>
        </w:rPr>
        <w:t>名录，</w:t>
      </w:r>
      <w:r>
        <w:rPr>
          <w:rFonts w:hint="eastAsia" w:ascii="宋体" w:hAnsi="宋体" w:cs="宋体"/>
          <w:color w:val="auto"/>
          <w:sz w:val="21"/>
          <w:szCs w:val="21"/>
          <w:highlight w:val="none"/>
          <w:lang w:eastAsia="zh-CN"/>
        </w:rPr>
        <w:t>省</w:t>
      </w:r>
      <w:r>
        <w:rPr>
          <w:rFonts w:hint="eastAsia" w:ascii="宋体" w:hAnsi="宋体" w:eastAsia="宋体" w:cs="宋体"/>
          <w:color w:val="auto"/>
          <w:sz w:val="21"/>
          <w:szCs w:val="21"/>
          <w:highlight w:val="none"/>
          <w:lang w:eastAsia="zh-CN"/>
        </w:rPr>
        <w:t>农业农村厅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省统计局</w:t>
      </w:r>
      <w:r>
        <w:rPr>
          <w:rFonts w:hint="eastAsia" w:ascii="宋体" w:hAnsi="宋体" w:cs="宋体"/>
          <w:color w:val="auto"/>
          <w:sz w:val="21"/>
          <w:szCs w:val="21"/>
          <w:highlight w:val="none"/>
          <w:lang w:eastAsia="zh-CN"/>
        </w:rPr>
        <w:t>、省工信厅、三亚崖州湾科技城</w:t>
      </w:r>
      <w:r>
        <w:rPr>
          <w:rFonts w:hint="eastAsia" w:ascii="宋体" w:hAnsi="宋体" w:eastAsia="宋体" w:cs="宋体"/>
          <w:color w:val="auto"/>
          <w:sz w:val="21"/>
          <w:szCs w:val="21"/>
          <w:highlight w:val="none"/>
          <w:lang w:eastAsia="zh-CN"/>
        </w:rPr>
        <w:t>根据现行制度</w:t>
      </w:r>
      <w:r>
        <w:rPr>
          <w:rFonts w:hint="eastAsia" w:ascii="宋体" w:hAnsi="宋体" w:cs="宋体"/>
          <w:color w:val="auto"/>
          <w:sz w:val="21"/>
          <w:szCs w:val="21"/>
          <w:highlight w:val="none"/>
          <w:lang w:eastAsia="zh-CN"/>
        </w:rPr>
        <w:t>共同研究，确定</w:t>
      </w:r>
      <w:r>
        <w:rPr>
          <w:rFonts w:hint="eastAsia" w:ascii="宋体" w:cs="宋体"/>
          <w:color w:val="auto"/>
          <w:highlight w:val="none"/>
          <w:lang w:eastAsia="zh-CN"/>
        </w:rPr>
        <w:t>高新育种及服务产业单位名录</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省统计局</w:t>
      </w:r>
      <w:r>
        <w:rPr>
          <w:rFonts w:hint="eastAsia" w:ascii="宋体" w:hAnsi="宋体" w:eastAsia="宋体" w:cs="宋体"/>
          <w:color w:val="auto"/>
          <w:sz w:val="21"/>
          <w:szCs w:val="21"/>
          <w:highlight w:val="none"/>
        </w:rPr>
        <w:t>于</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月、次年</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月的</w:t>
      </w:r>
      <w:r>
        <w:rPr>
          <w:rFonts w:hint="eastAsia" w:ascii="宋体" w:hAnsi="宋体" w:eastAsia="宋体" w:cs="宋体"/>
          <w:strike w:val="0"/>
          <w:color w:val="auto"/>
          <w:sz w:val="21"/>
          <w:szCs w:val="21"/>
          <w:highlight w:val="none"/>
          <w:lang w:val="en-US" w:eastAsia="zh-CN"/>
        </w:rPr>
        <w:t>23</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eastAsia="zh-CN"/>
        </w:rPr>
        <w:t>前</w:t>
      </w:r>
      <w:r>
        <w:rPr>
          <w:rFonts w:hint="eastAsia" w:ascii="宋体" w:hAnsi="宋体" w:eastAsia="宋体" w:cs="宋体"/>
          <w:color w:val="auto"/>
          <w:sz w:val="21"/>
          <w:szCs w:val="21"/>
          <w:highlight w:val="none"/>
          <w:lang w:eastAsia="zh-CN"/>
        </w:rPr>
        <w:t>将</w:t>
      </w:r>
      <w:r>
        <w:rPr>
          <w:rFonts w:hint="eastAsia" w:ascii="宋体" w:hAnsi="宋体" w:eastAsia="宋体" w:cs="宋体"/>
          <w:color w:val="auto"/>
          <w:sz w:val="21"/>
          <w:szCs w:val="21"/>
          <w:highlight w:val="none"/>
        </w:rPr>
        <w:t>相关情况</w:t>
      </w:r>
      <w:r>
        <w:rPr>
          <w:rFonts w:hint="eastAsia" w:ascii="宋体" w:hAnsi="宋体" w:eastAsia="宋体" w:cs="宋体"/>
          <w:color w:val="auto"/>
          <w:sz w:val="21"/>
          <w:szCs w:val="21"/>
          <w:highlight w:val="none"/>
          <w:lang w:eastAsia="zh-CN"/>
        </w:rPr>
        <w:t>汇总</w:t>
      </w:r>
      <w:r>
        <w:rPr>
          <w:rFonts w:hint="eastAsia" w:ascii="宋体" w:hAnsi="宋体" w:cs="宋体"/>
          <w:color w:val="auto"/>
          <w:sz w:val="21"/>
          <w:szCs w:val="21"/>
          <w:highlight w:val="none"/>
          <w:lang w:eastAsia="zh-CN"/>
        </w:rPr>
        <w:t>报</w:t>
      </w:r>
      <w:r>
        <w:rPr>
          <w:rFonts w:hint="eastAsia" w:ascii="宋体" w:hAnsi="宋体" w:eastAsia="宋体" w:cs="宋体"/>
          <w:color w:val="auto"/>
          <w:sz w:val="21"/>
          <w:szCs w:val="21"/>
          <w:highlight w:val="none"/>
        </w:rPr>
        <w:t>省工信厅</w:t>
      </w:r>
      <w:r>
        <w:rPr>
          <w:rFonts w:hint="eastAsia" w:ascii="宋体" w:cs="宋体"/>
          <w:color w:val="auto"/>
          <w:highlight w:val="none"/>
        </w:rPr>
        <w:t>。</w:t>
      </w:r>
    </w:p>
    <w:p>
      <w:pPr>
        <w:snapToGrid w:val="0"/>
        <w:spacing w:line="500" w:lineRule="exact"/>
        <w:ind w:firstLine="420" w:firstLineChars="200"/>
        <w:rPr>
          <w:rFonts w:hint="default" w:ascii="宋体" w:eastAsia="宋体" w:cs="宋体"/>
          <w:color w:val="auto"/>
          <w:highlight w:val="none"/>
          <w:lang w:val="en-US" w:eastAsia="zh-CN"/>
        </w:rPr>
      </w:pPr>
      <w:r>
        <w:rPr>
          <w:rFonts w:hint="eastAsia" w:ascii="宋体" w:cs="宋体"/>
          <w:color w:val="auto"/>
          <w:highlight w:val="none"/>
          <w:lang w:val="en-US" w:eastAsia="zh-CN"/>
        </w:rPr>
        <w:t>4.</w:t>
      </w:r>
      <w:r>
        <w:rPr>
          <w:rFonts w:hint="eastAsia" w:ascii="宋体" w:cs="宋体"/>
          <w:color w:val="auto"/>
          <w:highlight w:val="none"/>
          <w:lang w:eastAsia="zh-CN"/>
        </w:rPr>
        <w:t>高新育种及服务产业</w:t>
      </w:r>
      <w:r>
        <w:rPr>
          <w:rFonts w:hint="eastAsia" w:ascii="宋体" w:cs="宋体"/>
          <w:color w:val="auto"/>
          <w:highlight w:val="none"/>
          <w:lang w:val="en-US" w:eastAsia="zh-CN"/>
        </w:rPr>
        <w:t>经营情况综合表</w:t>
      </w:r>
      <w:r>
        <w:rPr>
          <w:rFonts w:hint="eastAsia" w:ascii="宋体" w:hAnsi="Times New Roman" w:eastAsia="宋体" w:cs="宋体"/>
          <w:color w:val="auto"/>
          <w:sz w:val="21"/>
          <w:szCs w:val="24"/>
          <w:highlight w:val="none"/>
        </w:rPr>
        <w:t>（GC10</w:t>
      </w:r>
      <w:r>
        <w:rPr>
          <w:rFonts w:hint="eastAsia" w:ascii="宋体" w:hAnsi="Times New Roman" w:eastAsia="宋体" w:cs="宋体"/>
          <w:color w:val="auto"/>
          <w:sz w:val="21"/>
          <w:szCs w:val="24"/>
          <w:highlight w:val="none"/>
          <w:lang w:val="en-US" w:eastAsia="zh-CN"/>
        </w:rPr>
        <w:t>4</w:t>
      </w:r>
      <w:r>
        <w:rPr>
          <w:rFonts w:hint="eastAsia" w:ascii="宋体" w:hAnsi="Times New Roman" w:eastAsia="宋体" w:cs="宋体"/>
          <w:color w:val="auto"/>
          <w:sz w:val="21"/>
          <w:szCs w:val="24"/>
          <w:highlight w:val="none"/>
        </w:rPr>
        <w:t>表</w:t>
      </w:r>
      <w:r>
        <w:rPr>
          <w:rFonts w:hint="eastAsia" w:ascii="宋体" w:hAnsi="宋体"/>
          <w:color w:val="auto"/>
          <w:sz w:val="18"/>
          <w:szCs w:val="18"/>
          <w:highlight w:val="none"/>
        </w:rPr>
        <w:t>）</w:t>
      </w:r>
      <w:r>
        <w:rPr>
          <w:rFonts w:hint="eastAsia" w:ascii="宋体" w:cs="宋体"/>
          <w:color w:val="auto"/>
          <w:highlight w:val="none"/>
        </w:rPr>
        <w:t>由</w:t>
      </w:r>
      <w:r>
        <w:rPr>
          <w:rFonts w:hint="eastAsia" w:ascii="宋体" w:cs="宋体"/>
          <w:color w:val="auto"/>
          <w:highlight w:val="none"/>
          <w:lang w:eastAsia="zh-CN"/>
        </w:rPr>
        <w:t>三亚崖州湾科技城和省统计局</w:t>
      </w:r>
      <w:r>
        <w:rPr>
          <w:rFonts w:hint="eastAsia" w:ascii="宋体" w:cs="宋体"/>
          <w:color w:val="auto"/>
          <w:highlight w:val="none"/>
        </w:rPr>
        <w:t>提供，于4月、7月、10月、次年1月的</w:t>
      </w:r>
      <w:r>
        <w:rPr>
          <w:rFonts w:hint="eastAsia" w:ascii="宋体" w:cs="宋体"/>
          <w:strike w:val="0"/>
          <w:color w:val="auto"/>
          <w:highlight w:val="none"/>
          <w:lang w:val="en-US" w:eastAsia="zh-CN"/>
        </w:rPr>
        <w:t>23</w:t>
      </w:r>
      <w:r>
        <w:rPr>
          <w:rFonts w:hint="eastAsia" w:ascii="宋体" w:cs="宋体"/>
          <w:color w:val="auto"/>
          <w:highlight w:val="none"/>
        </w:rPr>
        <w:t>日前报送上一季度的相关情况至省工信厅。</w:t>
      </w:r>
    </w:p>
    <w:p>
      <w:pPr>
        <w:adjustRightInd w:val="0"/>
        <w:snapToGrid w:val="0"/>
        <w:spacing w:line="500" w:lineRule="exact"/>
        <w:ind w:firstLine="420" w:firstLineChars="200"/>
        <w:textAlignment w:val="baseline"/>
        <w:rPr>
          <w:rFonts w:hint="default" w:ascii="宋体" w:cs="宋体"/>
          <w:color w:val="auto"/>
          <w:highlight w:val="none"/>
          <w:lang w:eastAsia="zh-CN"/>
        </w:rPr>
      </w:pPr>
      <w:r>
        <w:rPr>
          <w:rFonts w:hint="eastAsia" w:ascii="宋体" w:cs="宋体"/>
          <w:color w:val="auto"/>
          <w:highlight w:val="none"/>
        </w:rPr>
        <w:t>（五）注意事项：本报表制度中所列指标</w:t>
      </w:r>
      <w:r>
        <w:rPr>
          <w:rFonts w:hint="eastAsia" w:ascii="宋体" w:cs="宋体"/>
          <w:color w:val="auto"/>
          <w:highlight w:val="none"/>
          <w:lang w:val="en-US" w:eastAsia="zh-CN"/>
        </w:rPr>
        <w:t>均</w:t>
      </w:r>
      <w:r>
        <w:rPr>
          <w:rFonts w:hint="eastAsia" w:ascii="宋体" w:cs="宋体"/>
          <w:color w:val="auto"/>
          <w:highlight w:val="none"/>
        </w:rPr>
        <w:t>按当年统计口径填报</w:t>
      </w:r>
      <w:r>
        <w:rPr>
          <w:rFonts w:hint="eastAsia" w:ascii="宋体" w:cs="宋体"/>
          <w:color w:val="auto"/>
          <w:highlight w:val="none"/>
          <w:lang w:eastAsia="zh-CN"/>
        </w:rPr>
        <w:t>，</w:t>
      </w:r>
      <w:r>
        <w:rPr>
          <w:rFonts w:ascii="宋体" w:cs="宋体"/>
          <w:color w:val="auto"/>
          <w:highlight w:val="none"/>
        </w:rPr>
        <w:t>数据暂缺不详的应填“</w:t>
      </w:r>
      <w:r>
        <w:rPr>
          <w:rFonts w:hint="eastAsia" w:ascii="宋体" w:cs="宋体"/>
          <w:color w:val="auto"/>
          <w:highlight w:val="none"/>
        </w:rPr>
        <w:t>无”或“/</w:t>
      </w:r>
      <w:r>
        <w:rPr>
          <w:rFonts w:hint="eastAsia" w:ascii="宋体" w:cs="宋体"/>
          <w:color w:val="auto"/>
          <w:highlight w:val="none"/>
          <w:lang w:eastAsia="zh-CN"/>
        </w:rPr>
        <w:t>”</w:t>
      </w:r>
      <w:r>
        <w:rPr>
          <w:rFonts w:hint="eastAsia" w:ascii="宋体" w:cs="宋体"/>
          <w:color w:val="auto"/>
          <w:highlight w:val="none"/>
          <w:lang w:val="en-US" w:eastAsia="zh-CN"/>
        </w:rPr>
        <w:t>。</w:t>
      </w:r>
    </w:p>
    <w:p>
      <w:pPr>
        <w:widowControl w:val="0"/>
        <w:overflowPunct/>
        <w:autoSpaceDE/>
        <w:autoSpaceDN/>
        <w:adjustRightInd w:val="0"/>
        <w:snapToGrid/>
        <w:spacing w:line="500" w:lineRule="exact"/>
        <w:ind w:firstLine="420" w:firstLineChars="200"/>
        <w:textAlignment w:val="baseline"/>
        <w:rPr>
          <w:rFonts w:hint="eastAsia" w:ascii="宋体" w:hAnsi="Times New Roman" w:eastAsia="宋体" w:cs="宋体"/>
          <w:color w:val="auto"/>
          <w:kern w:val="2"/>
          <w:sz w:val="21"/>
          <w:szCs w:val="24"/>
          <w:highlight w:val="none"/>
          <w:shd w:val="clear" w:color="auto" w:fill="auto"/>
          <w:lang w:eastAsia="zh-CN" w:bidi="ar"/>
        </w:rPr>
      </w:pPr>
      <w:r>
        <w:rPr>
          <w:rFonts w:hint="eastAsia" w:ascii="宋体" w:hAnsi="Times New Roman" w:eastAsia="宋体" w:cs="宋体"/>
          <w:color w:val="auto"/>
          <w:sz w:val="21"/>
          <w:highlight w:val="none"/>
          <w:lang w:val="en-US" w:eastAsia="zh-CN"/>
        </w:rPr>
        <w:t>（六）</w:t>
      </w:r>
      <w:r>
        <w:rPr>
          <w:rFonts w:hint="eastAsia" w:ascii="宋体" w:hAnsi="Times New Roman" w:eastAsia="宋体" w:cs="宋体"/>
          <w:color w:val="auto"/>
          <w:sz w:val="21"/>
          <w:highlight w:val="none"/>
          <w:lang w:eastAsia="zh-CN"/>
        </w:rPr>
        <w:t>统计资料使用和公布：</w:t>
      </w:r>
      <w:r>
        <w:rPr>
          <w:rFonts w:hint="eastAsia" w:ascii="宋体" w:hAnsi="Times New Roman" w:eastAsia="宋体" w:cs="宋体"/>
          <w:color w:val="auto"/>
          <w:highlight w:val="none"/>
        </w:rPr>
        <w:t>本制度测算所得统计数据</w:t>
      </w:r>
      <w:r>
        <w:rPr>
          <w:rFonts w:hint="eastAsia" w:ascii="宋体" w:cs="宋体"/>
          <w:color w:val="auto"/>
          <w:highlight w:val="none"/>
          <w:lang w:eastAsia="zh-CN"/>
        </w:rPr>
        <w:t>，</w:t>
      </w:r>
      <w:r>
        <w:rPr>
          <w:rFonts w:hint="eastAsia" w:ascii="宋体" w:hAnsi="Times New Roman" w:eastAsia="宋体" w:cs="宋体"/>
          <w:color w:val="auto"/>
          <w:highlight w:val="none"/>
        </w:rPr>
        <w:t>未经</w:t>
      </w:r>
      <w:r>
        <w:rPr>
          <w:rFonts w:hint="eastAsia" w:ascii="宋体" w:cs="宋体"/>
          <w:color w:val="auto"/>
          <w:highlight w:val="none"/>
          <w:lang w:val="en-US" w:eastAsia="zh-CN"/>
        </w:rPr>
        <w:t>省</w:t>
      </w:r>
      <w:r>
        <w:rPr>
          <w:rFonts w:hint="eastAsia" w:ascii="宋体" w:hAnsi="Times New Roman" w:eastAsia="宋体" w:cs="宋体"/>
          <w:color w:val="auto"/>
          <w:highlight w:val="none"/>
          <w:lang w:eastAsia="zh-CN"/>
        </w:rPr>
        <w:t>工信厅</w:t>
      </w:r>
      <w:r>
        <w:rPr>
          <w:rFonts w:hint="eastAsia" w:ascii="宋体" w:hAnsi="Times New Roman" w:eastAsia="宋体" w:cs="宋体"/>
          <w:color w:val="auto"/>
          <w:highlight w:val="none"/>
        </w:rPr>
        <w:t>批准，</w:t>
      </w:r>
      <w:r>
        <w:rPr>
          <w:rFonts w:hint="eastAsia" w:ascii="宋体" w:hAnsi="Times New Roman" w:eastAsia="宋体" w:cs="宋体"/>
          <w:color w:val="auto"/>
          <w:kern w:val="2"/>
          <w:sz w:val="21"/>
          <w:szCs w:val="24"/>
          <w:highlight w:val="none"/>
          <w:shd w:val="clear" w:color="auto" w:fill="auto"/>
          <w:lang w:val="en-US" w:eastAsia="zh-CN" w:bidi="ar"/>
        </w:rPr>
        <w:t>任</w:t>
      </w:r>
      <w:r>
        <w:rPr>
          <w:rFonts w:hint="eastAsia" w:ascii="宋体" w:hAnsi="Times New Roman" w:eastAsia="宋体" w:cs="宋体"/>
          <w:color w:val="auto"/>
          <w:kern w:val="2"/>
          <w:sz w:val="21"/>
          <w:szCs w:val="24"/>
          <w:highlight w:val="none"/>
          <w:shd w:val="clear" w:color="auto" w:fill="auto"/>
          <w:lang w:eastAsia="zh-CN" w:bidi="ar"/>
        </w:rPr>
        <w:t>何</w:t>
      </w:r>
      <w:r>
        <w:rPr>
          <w:rFonts w:hint="eastAsia" w:ascii="宋体" w:hAnsi="Times New Roman" w:eastAsia="宋体" w:cs="宋体"/>
          <w:color w:val="auto"/>
          <w:kern w:val="2"/>
          <w:sz w:val="21"/>
          <w:szCs w:val="24"/>
          <w:highlight w:val="none"/>
          <w:shd w:val="clear" w:color="auto" w:fill="auto"/>
          <w:lang w:val="en-US" w:eastAsia="zh-CN" w:bidi="ar"/>
        </w:rPr>
        <w:t>单位和个人不得擅自对外提供、泄露。在公布统计资料前应当抄送同级人民政府统计机构</w:t>
      </w:r>
      <w:r>
        <w:rPr>
          <w:rFonts w:hint="eastAsia" w:ascii="宋体" w:hAnsi="Times New Roman" w:eastAsia="宋体" w:cs="宋体"/>
          <w:color w:val="auto"/>
          <w:kern w:val="2"/>
          <w:sz w:val="21"/>
          <w:szCs w:val="24"/>
          <w:highlight w:val="none"/>
          <w:shd w:val="clear" w:color="auto" w:fill="auto"/>
          <w:lang w:eastAsia="zh-CN" w:bidi="ar"/>
        </w:rPr>
        <w:t>。</w:t>
      </w:r>
    </w:p>
    <w:p>
      <w:pPr>
        <w:adjustRightInd w:val="0"/>
        <w:snapToGrid w:val="0"/>
        <w:spacing w:line="500" w:lineRule="exact"/>
        <w:ind w:firstLine="420" w:firstLineChars="200"/>
        <w:textAlignment w:val="baseline"/>
        <w:rPr>
          <w:rFonts w:hint="eastAsia" w:ascii="宋体" w:cs="宋体"/>
          <w:color w:val="auto"/>
          <w:highlight w:val="none"/>
        </w:rPr>
      </w:pPr>
      <w:r>
        <w:rPr>
          <w:rFonts w:hint="default" w:ascii="宋体" w:cs="宋体"/>
          <w:color w:val="auto"/>
          <w:highlight w:val="none"/>
        </w:rPr>
        <w:t>（七）</w:t>
      </w:r>
      <w:r>
        <w:rPr>
          <w:rFonts w:hint="eastAsia" w:ascii="宋体" w:cs="宋体"/>
          <w:color w:val="auto"/>
          <w:highlight w:val="none"/>
        </w:rPr>
        <w:t>本制度由省工业和信息化厅</w:t>
      </w:r>
      <w:r>
        <w:rPr>
          <w:rFonts w:hint="eastAsia" w:ascii="宋体" w:cs="宋体"/>
          <w:color w:val="auto"/>
          <w:highlight w:val="none"/>
          <w:lang w:eastAsia="zh-CN"/>
        </w:rPr>
        <w:t>、省科学技术厅共同</w:t>
      </w:r>
      <w:r>
        <w:rPr>
          <w:rFonts w:ascii="宋体" w:cs="宋体"/>
          <w:color w:val="auto"/>
          <w:highlight w:val="none"/>
        </w:rPr>
        <w:t>牵头组织</w:t>
      </w:r>
      <w:r>
        <w:rPr>
          <w:rFonts w:hint="eastAsia" w:ascii="宋体" w:cs="宋体"/>
          <w:color w:val="auto"/>
          <w:highlight w:val="none"/>
        </w:rPr>
        <w:t>相关部门制定、实施，省统计局指导</w:t>
      </w:r>
      <w:r>
        <w:rPr>
          <w:rFonts w:ascii="宋体" w:cs="宋体"/>
          <w:color w:val="auto"/>
          <w:highlight w:val="none"/>
        </w:rPr>
        <w:t>制度制定的相关事宜</w:t>
      </w:r>
      <w:r>
        <w:rPr>
          <w:rFonts w:hint="eastAsia" w:ascii="宋体" w:cs="宋体"/>
          <w:color w:val="auto"/>
          <w:highlight w:val="none"/>
        </w:rPr>
        <w:t>。</w:t>
      </w:r>
    </w:p>
    <w:p>
      <w:pPr>
        <w:pStyle w:val="2"/>
        <w:rPr>
          <w:rFonts w:ascii="宋体" w:cs="宋体"/>
          <w:color w:val="auto"/>
          <w:highlight w:val="none"/>
        </w:rPr>
      </w:pPr>
      <w:r>
        <w:rPr>
          <w:rFonts w:ascii="宋体" w:cs="宋体"/>
          <w:color w:val="auto"/>
          <w:highlight w:val="none"/>
        </w:rPr>
        <w:br w:type="page"/>
      </w:r>
      <w:bookmarkStart w:id="21" w:name="_Toc25172"/>
      <w:bookmarkStart w:id="22" w:name="_Toc746572767"/>
      <w:bookmarkStart w:id="23" w:name="_Toc24689"/>
      <w:bookmarkStart w:id="24" w:name="_Toc12147"/>
      <w:bookmarkStart w:id="25" w:name="_Toc24895"/>
      <w:bookmarkStart w:id="26" w:name="_Toc3129"/>
      <w:bookmarkStart w:id="27" w:name="_Toc12341"/>
      <w:bookmarkStart w:id="28" w:name="_Toc22258"/>
      <w:bookmarkStart w:id="29" w:name="_Toc23958"/>
      <w:bookmarkStart w:id="30" w:name="_Toc21918"/>
      <w:bookmarkStart w:id="31" w:name="_Toc29400"/>
      <w:bookmarkStart w:id="32" w:name="_Toc11999"/>
    </w:p>
    <w:p>
      <w:pPr>
        <w:pStyle w:val="2"/>
        <w:ind w:left="0" w:leftChars="0" w:firstLine="3360" w:firstLineChars="1050"/>
        <w:outlineLvl w:val="0"/>
        <w:rPr>
          <w:rFonts w:hint="eastAsia" w:eastAsia="黑体"/>
          <w:color w:val="auto"/>
          <w:sz w:val="32"/>
          <w:highlight w:val="none"/>
        </w:rPr>
      </w:pPr>
      <w:bookmarkStart w:id="33" w:name="_Toc5312"/>
      <w:r>
        <w:rPr>
          <w:rFonts w:hint="eastAsia" w:ascii="Calibri" w:eastAsia="黑体" w:cs="Times New Roman"/>
          <w:color w:val="auto"/>
          <w:sz w:val="32"/>
          <w:highlight w:val="none"/>
        </w:rPr>
        <w:t>二、</w:t>
      </w:r>
      <w:r>
        <w:rPr>
          <w:rFonts w:hint="eastAsia" w:eastAsia="黑体"/>
          <w:color w:val="auto"/>
          <w:sz w:val="32"/>
          <w:highlight w:val="none"/>
        </w:rPr>
        <w:t>报</w:t>
      </w:r>
      <w:r>
        <w:rPr>
          <w:rFonts w:eastAsia="黑体"/>
          <w:color w:val="auto"/>
          <w:sz w:val="32"/>
          <w:highlight w:val="none"/>
        </w:rPr>
        <w:t xml:space="preserve"> </w:t>
      </w:r>
      <w:r>
        <w:rPr>
          <w:rFonts w:hint="eastAsia" w:eastAsia="黑体"/>
          <w:color w:val="auto"/>
          <w:sz w:val="32"/>
          <w:highlight w:val="none"/>
        </w:rPr>
        <w:t>表</w:t>
      </w:r>
      <w:r>
        <w:rPr>
          <w:rFonts w:eastAsia="黑体"/>
          <w:color w:val="auto"/>
          <w:sz w:val="32"/>
          <w:highlight w:val="none"/>
        </w:rPr>
        <w:t xml:space="preserve"> </w:t>
      </w:r>
      <w:r>
        <w:rPr>
          <w:rFonts w:hint="eastAsia" w:eastAsia="黑体"/>
          <w:color w:val="auto"/>
          <w:sz w:val="32"/>
          <w:highlight w:val="none"/>
        </w:rPr>
        <w:t>目</w:t>
      </w:r>
      <w:r>
        <w:rPr>
          <w:rFonts w:eastAsia="黑体"/>
          <w:color w:val="auto"/>
          <w:sz w:val="32"/>
          <w:highlight w:val="none"/>
        </w:rPr>
        <w:t xml:space="preserve"> </w:t>
      </w:r>
      <w:r>
        <w:rPr>
          <w:rFonts w:hint="eastAsia" w:eastAsia="黑体"/>
          <w:color w:val="auto"/>
          <w:sz w:val="32"/>
          <w:highlight w:val="none"/>
        </w:rPr>
        <w:t>录</w:t>
      </w:r>
      <w:bookmarkEnd w:id="21"/>
      <w:bookmarkEnd w:id="22"/>
      <w:bookmarkEnd w:id="23"/>
      <w:bookmarkEnd w:id="24"/>
      <w:bookmarkEnd w:id="25"/>
      <w:bookmarkEnd w:id="26"/>
      <w:bookmarkEnd w:id="27"/>
      <w:bookmarkEnd w:id="28"/>
      <w:bookmarkEnd w:id="29"/>
      <w:bookmarkEnd w:id="30"/>
      <w:bookmarkEnd w:id="31"/>
      <w:bookmarkEnd w:id="32"/>
      <w:bookmarkEnd w:id="33"/>
    </w:p>
    <w:tbl>
      <w:tblPr>
        <w:tblStyle w:val="16"/>
        <w:tblW w:w="0" w:type="auto"/>
        <w:tblInd w:w="94" w:type="dxa"/>
        <w:tblBorders>
          <w:top w:val="single" w:color="auto" w:sz="8"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984"/>
        <w:gridCol w:w="1350"/>
        <w:gridCol w:w="730"/>
        <w:gridCol w:w="1757"/>
        <w:gridCol w:w="1335"/>
        <w:gridCol w:w="1710"/>
        <w:gridCol w:w="1421"/>
      </w:tblGrid>
      <w:tr>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50" w:hRule="atLeast"/>
          <w:tblHeader/>
        </w:trPr>
        <w:tc>
          <w:tcPr>
            <w:tcW w:w="984" w:type="dxa"/>
            <w:tcBorders>
              <w:top w:val="single" w:color="auto" w:sz="8" w:space="0"/>
              <w:bottom w:val="single" w:color="auto" w:sz="2" w:space="0"/>
            </w:tcBorders>
            <w:noWrap w:val="0"/>
            <w:vAlign w:val="center"/>
          </w:tcPr>
          <w:p>
            <w:pPr>
              <w:snapToGrid w:val="0"/>
              <w:jc w:val="center"/>
              <w:rPr>
                <w:rFonts w:ascii="宋体"/>
                <w:color w:val="auto"/>
                <w:sz w:val="18"/>
                <w:szCs w:val="18"/>
                <w:highlight w:val="none"/>
              </w:rPr>
            </w:pPr>
            <w:r>
              <w:rPr>
                <w:rFonts w:hint="eastAsia" w:ascii="宋体" w:hAnsi="宋体"/>
                <w:color w:val="auto"/>
                <w:sz w:val="18"/>
                <w:szCs w:val="18"/>
                <w:highlight w:val="none"/>
              </w:rPr>
              <w:t>表号</w:t>
            </w:r>
          </w:p>
        </w:tc>
        <w:tc>
          <w:tcPr>
            <w:tcW w:w="1350" w:type="dxa"/>
            <w:tcBorders>
              <w:top w:val="single" w:color="auto" w:sz="8" w:space="0"/>
              <w:bottom w:val="single" w:color="auto" w:sz="2" w:space="0"/>
            </w:tcBorders>
            <w:noWrap w:val="0"/>
            <w:vAlign w:val="center"/>
          </w:tcPr>
          <w:p>
            <w:pPr>
              <w:snapToGrid w:val="0"/>
              <w:jc w:val="center"/>
              <w:rPr>
                <w:rFonts w:ascii="宋体"/>
                <w:color w:val="auto"/>
                <w:sz w:val="18"/>
                <w:szCs w:val="18"/>
                <w:highlight w:val="none"/>
              </w:rPr>
            </w:pPr>
            <w:r>
              <w:rPr>
                <w:rFonts w:hint="eastAsia" w:ascii="宋体" w:hAnsi="宋体"/>
                <w:color w:val="auto"/>
                <w:sz w:val="18"/>
                <w:szCs w:val="18"/>
                <w:highlight w:val="none"/>
              </w:rPr>
              <w:t>表名</w:t>
            </w:r>
          </w:p>
        </w:tc>
        <w:tc>
          <w:tcPr>
            <w:tcW w:w="730" w:type="dxa"/>
            <w:tcBorders>
              <w:top w:val="single" w:color="auto" w:sz="8" w:space="0"/>
              <w:bottom w:val="single" w:color="auto" w:sz="2" w:space="0"/>
            </w:tcBorders>
            <w:noWrap w:val="0"/>
            <w:vAlign w:val="center"/>
          </w:tcPr>
          <w:p>
            <w:pPr>
              <w:snapToGrid w:val="0"/>
              <w:jc w:val="center"/>
              <w:rPr>
                <w:rFonts w:ascii="宋体"/>
                <w:color w:val="auto"/>
                <w:sz w:val="18"/>
                <w:szCs w:val="18"/>
                <w:highlight w:val="none"/>
              </w:rPr>
            </w:pPr>
            <w:r>
              <w:rPr>
                <w:rFonts w:hint="eastAsia" w:ascii="宋体" w:hAnsi="宋体"/>
                <w:color w:val="auto"/>
                <w:sz w:val="18"/>
                <w:szCs w:val="18"/>
                <w:highlight w:val="none"/>
              </w:rPr>
              <w:t>报告</w:t>
            </w:r>
          </w:p>
          <w:p>
            <w:pPr>
              <w:snapToGrid w:val="0"/>
              <w:jc w:val="center"/>
              <w:rPr>
                <w:rFonts w:ascii="宋体"/>
                <w:color w:val="auto"/>
                <w:sz w:val="18"/>
                <w:szCs w:val="18"/>
                <w:highlight w:val="none"/>
              </w:rPr>
            </w:pPr>
            <w:r>
              <w:rPr>
                <w:rFonts w:hint="eastAsia" w:ascii="宋体" w:hAnsi="宋体"/>
                <w:color w:val="auto"/>
                <w:sz w:val="18"/>
                <w:szCs w:val="18"/>
                <w:highlight w:val="none"/>
              </w:rPr>
              <w:t>期别</w:t>
            </w:r>
          </w:p>
        </w:tc>
        <w:tc>
          <w:tcPr>
            <w:tcW w:w="1757" w:type="dxa"/>
            <w:tcBorders>
              <w:top w:val="single" w:color="auto" w:sz="8" w:space="0"/>
              <w:bottom w:val="single" w:color="auto" w:sz="2" w:space="0"/>
            </w:tcBorders>
            <w:noWrap w:val="0"/>
            <w:vAlign w:val="center"/>
          </w:tcPr>
          <w:p>
            <w:pPr>
              <w:pStyle w:val="9"/>
              <w:jc w:val="center"/>
              <w:rPr>
                <w:rFonts w:ascii="宋体"/>
                <w:color w:val="auto"/>
                <w:szCs w:val="18"/>
                <w:highlight w:val="none"/>
              </w:rPr>
            </w:pPr>
            <w:r>
              <w:rPr>
                <w:rFonts w:hint="eastAsia" w:ascii="宋体" w:hAnsi="宋体"/>
                <w:color w:val="auto"/>
                <w:szCs w:val="18"/>
                <w:highlight w:val="none"/>
              </w:rPr>
              <w:t>统计范围</w:t>
            </w:r>
          </w:p>
        </w:tc>
        <w:tc>
          <w:tcPr>
            <w:tcW w:w="1335" w:type="dxa"/>
            <w:tcBorders>
              <w:top w:val="single" w:color="auto" w:sz="8" w:space="0"/>
              <w:bottom w:val="single" w:color="auto" w:sz="2" w:space="0"/>
            </w:tcBorders>
            <w:noWrap w:val="0"/>
            <w:vAlign w:val="center"/>
          </w:tcPr>
          <w:p>
            <w:pPr>
              <w:snapToGrid w:val="0"/>
              <w:jc w:val="center"/>
              <w:rPr>
                <w:rFonts w:ascii="宋体"/>
                <w:color w:val="auto"/>
                <w:sz w:val="18"/>
                <w:szCs w:val="18"/>
                <w:highlight w:val="none"/>
              </w:rPr>
            </w:pPr>
            <w:r>
              <w:rPr>
                <w:rFonts w:hint="eastAsia" w:ascii="宋体" w:hAnsi="宋体"/>
                <w:color w:val="auto"/>
                <w:sz w:val="18"/>
                <w:szCs w:val="18"/>
                <w:highlight w:val="none"/>
              </w:rPr>
              <w:t>报送</w:t>
            </w:r>
          </w:p>
          <w:p>
            <w:pPr>
              <w:snapToGrid w:val="0"/>
              <w:jc w:val="center"/>
              <w:rPr>
                <w:rFonts w:ascii="宋体"/>
                <w:color w:val="auto"/>
                <w:sz w:val="18"/>
                <w:szCs w:val="18"/>
                <w:highlight w:val="none"/>
              </w:rPr>
            </w:pPr>
            <w:r>
              <w:rPr>
                <w:rFonts w:hint="eastAsia" w:ascii="宋体" w:hAnsi="宋体"/>
                <w:color w:val="auto"/>
                <w:sz w:val="18"/>
                <w:szCs w:val="18"/>
                <w:highlight w:val="none"/>
              </w:rPr>
              <w:t>单位</w:t>
            </w:r>
          </w:p>
        </w:tc>
        <w:tc>
          <w:tcPr>
            <w:tcW w:w="1710" w:type="dxa"/>
            <w:tcBorders>
              <w:top w:val="single" w:color="auto" w:sz="8" w:space="0"/>
              <w:bottom w:val="single" w:color="auto" w:sz="2" w:space="0"/>
            </w:tcBorders>
            <w:noWrap w:val="0"/>
            <w:vAlign w:val="center"/>
          </w:tcPr>
          <w:p>
            <w:pPr>
              <w:snapToGrid w:val="0"/>
              <w:jc w:val="center"/>
              <w:rPr>
                <w:rFonts w:hint="eastAsia" w:ascii="宋体" w:hAnsi="宋体"/>
                <w:color w:val="auto"/>
                <w:sz w:val="18"/>
                <w:szCs w:val="18"/>
                <w:highlight w:val="none"/>
              </w:rPr>
            </w:pPr>
            <w:r>
              <w:rPr>
                <w:rFonts w:hint="eastAsia" w:ascii="宋体" w:hAnsi="宋体"/>
                <w:color w:val="auto"/>
                <w:sz w:val="18"/>
                <w:szCs w:val="18"/>
                <w:highlight w:val="none"/>
              </w:rPr>
              <w:t>报送日期</w:t>
            </w:r>
          </w:p>
        </w:tc>
        <w:tc>
          <w:tcPr>
            <w:tcW w:w="1421" w:type="dxa"/>
            <w:tcBorders>
              <w:top w:val="single" w:color="auto" w:sz="8" w:space="0"/>
              <w:bottom w:val="single" w:color="auto" w:sz="2" w:space="0"/>
              <w:right w:val="nil"/>
            </w:tcBorders>
            <w:noWrap w:val="0"/>
            <w:vAlign w:val="center"/>
          </w:tcPr>
          <w:p>
            <w:pPr>
              <w:snapToGrid w:val="0"/>
              <w:jc w:val="center"/>
              <w:rPr>
                <w:rFonts w:ascii="宋体"/>
                <w:color w:val="auto"/>
                <w:sz w:val="18"/>
                <w:szCs w:val="18"/>
                <w:highlight w:val="none"/>
              </w:rPr>
            </w:pPr>
            <w:r>
              <w:rPr>
                <w:rFonts w:hint="eastAsia" w:ascii="宋体" w:hAnsi="宋体"/>
                <w:color w:val="auto"/>
                <w:sz w:val="18"/>
                <w:szCs w:val="18"/>
                <w:highlight w:val="none"/>
              </w:rPr>
              <w:t>备注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984" w:type="dxa"/>
            <w:noWrap w:val="0"/>
            <w:vAlign w:val="center"/>
          </w:tcPr>
          <w:p>
            <w:pPr>
              <w:snapToGrid w:val="0"/>
              <w:jc w:val="left"/>
              <w:rPr>
                <w:rFonts w:hint="eastAsia" w:ascii="宋体" w:hAnsi="宋体" w:cs="宋体"/>
                <w:color w:val="auto"/>
                <w:kern w:val="0"/>
                <w:sz w:val="18"/>
                <w:szCs w:val="18"/>
                <w:highlight w:val="none"/>
              </w:rPr>
            </w:pPr>
            <w:r>
              <w:rPr>
                <w:rFonts w:ascii="宋体" w:hAnsi="宋体" w:cs="宋体"/>
                <w:color w:val="auto"/>
                <w:kern w:val="0"/>
                <w:sz w:val="18"/>
                <w:szCs w:val="18"/>
                <w:highlight w:val="none"/>
              </w:rPr>
              <w:t>G</w:t>
            </w:r>
            <w:r>
              <w:rPr>
                <w:rFonts w:hint="eastAsia" w:ascii="宋体" w:hAnsi="宋体" w:cs="宋体"/>
                <w:color w:val="auto"/>
                <w:kern w:val="0"/>
                <w:sz w:val="18"/>
                <w:szCs w:val="18"/>
                <w:highlight w:val="none"/>
              </w:rPr>
              <w:t>C</w:t>
            </w:r>
            <w:r>
              <w:rPr>
                <w:rFonts w:ascii="宋体" w:hAnsi="宋体" w:cs="宋体"/>
                <w:color w:val="auto"/>
                <w:kern w:val="0"/>
                <w:sz w:val="18"/>
                <w:szCs w:val="18"/>
                <w:highlight w:val="none"/>
              </w:rPr>
              <w:t>101</w:t>
            </w:r>
            <w:r>
              <w:rPr>
                <w:rFonts w:hint="eastAsia" w:ascii="宋体" w:hAnsi="宋体" w:cs="宋体"/>
                <w:color w:val="auto"/>
                <w:kern w:val="0"/>
                <w:sz w:val="18"/>
                <w:szCs w:val="18"/>
                <w:highlight w:val="none"/>
              </w:rPr>
              <w:t>表</w:t>
            </w:r>
          </w:p>
        </w:tc>
        <w:tc>
          <w:tcPr>
            <w:tcW w:w="1350" w:type="dxa"/>
            <w:noWrap w:val="0"/>
            <w:vAlign w:val="center"/>
          </w:tcPr>
          <w:p>
            <w:pPr>
              <w:snapToGrid w:val="0"/>
              <w:jc w:val="left"/>
              <w:rPr>
                <w:rFonts w:hint="default" w:ascii="宋体" w:hAnsi="宋体" w:cs="宋体"/>
                <w:color w:val="auto"/>
                <w:kern w:val="0"/>
                <w:sz w:val="18"/>
                <w:szCs w:val="18"/>
                <w:highlight w:val="none"/>
              </w:rPr>
            </w:pPr>
            <w:r>
              <w:rPr>
                <w:rFonts w:hint="eastAsia" w:ascii="宋体" w:hAnsi="宋体" w:cs="宋体"/>
                <w:color w:val="auto"/>
                <w:kern w:val="0"/>
                <w:sz w:val="18"/>
                <w:szCs w:val="18"/>
                <w:highlight w:val="none"/>
              </w:rPr>
              <w:t>高</w:t>
            </w:r>
            <w:r>
              <w:rPr>
                <w:rFonts w:ascii="宋体" w:hAnsi="宋体" w:cs="宋体"/>
                <w:color w:val="auto"/>
                <w:kern w:val="0"/>
                <w:sz w:val="18"/>
                <w:szCs w:val="18"/>
                <w:highlight w:val="none"/>
              </w:rPr>
              <w:t>新技术</w:t>
            </w:r>
            <w:r>
              <w:rPr>
                <w:rFonts w:hint="eastAsia" w:ascii="宋体" w:hAnsi="宋体" w:cs="宋体"/>
                <w:color w:val="auto"/>
                <w:kern w:val="0"/>
                <w:sz w:val="18"/>
                <w:szCs w:val="18"/>
                <w:highlight w:val="none"/>
              </w:rPr>
              <w:t>产业经营</w:t>
            </w:r>
            <w:r>
              <w:rPr>
                <w:rFonts w:ascii="宋体" w:hAnsi="宋体" w:cs="宋体"/>
                <w:color w:val="auto"/>
                <w:kern w:val="0"/>
                <w:sz w:val="18"/>
                <w:szCs w:val="18"/>
                <w:highlight w:val="none"/>
              </w:rPr>
              <w:t>情况</w:t>
            </w:r>
            <w:r>
              <w:rPr>
                <w:rFonts w:hint="eastAsia" w:ascii="宋体" w:hAnsi="宋体" w:cs="宋体"/>
                <w:color w:val="auto"/>
                <w:kern w:val="0"/>
                <w:sz w:val="18"/>
                <w:szCs w:val="18"/>
                <w:highlight w:val="none"/>
              </w:rPr>
              <w:t>综合表</w:t>
            </w:r>
            <w:r>
              <w:rPr>
                <w:rFonts w:hint="default" w:ascii="宋体" w:hAnsi="宋体" w:cs="宋体"/>
                <w:color w:val="auto"/>
                <w:kern w:val="0"/>
                <w:sz w:val="18"/>
                <w:szCs w:val="18"/>
                <w:highlight w:val="none"/>
              </w:rPr>
              <w:t>（</w:t>
            </w:r>
            <w:r>
              <w:rPr>
                <w:rFonts w:hint="eastAsia" w:ascii="宋体" w:hAnsi="宋体" w:cs="宋体"/>
                <w:color w:val="auto"/>
                <w:kern w:val="0"/>
                <w:sz w:val="18"/>
                <w:szCs w:val="18"/>
                <w:highlight w:val="none"/>
              </w:rPr>
              <w:t>“四</w:t>
            </w:r>
            <w:r>
              <w:rPr>
                <w:rFonts w:hint="eastAsia" w:ascii="宋体" w:hAnsi="宋体" w:cs="宋体"/>
                <w:color w:val="auto"/>
                <w:kern w:val="0"/>
                <w:sz w:val="18"/>
                <w:szCs w:val="18"/>
                <w:highlight w:val="none"/>
                <w:lang w:val="en-US" w:eastAsia="zh-CN"/>
              </w:rPr>
              <w:t>上</w:t>
            </w:r>
            <w:r>
              <w:rPr>
                <w:rFonts w:hint="eastAsia" w:ascii="宋体" w:hAnsi="宋体" w:cs="宋体"/>
                <w:color w:val="auto"/>
                <w:kern w:val="0"/>
                <w:sz w:val="18"/>
                <w:szCs w:val="18"/>
                <w:highlight w:val="none"/>
              </w:rPr>
              <w:t>”调查单位</w:t>
            </w:r>
            <w:r>
              <w:rPr>
                <w:rFonts w:hint="default" w:ascii="宋体" w:hAnsi="宋体" w:cs="宋体"/>
                <w:color w:val="auto"/>
                <w:kern w:val="0"/>
                <w:sz w:val="18"/>
                <w:szCs w:val="18"/>
                <w:highlight w:val="none"/>
              </w:rPr>
              <w:t>）</w:t>
            </w:r>
          </w:p>
        </w:tc>
        <w:tc>
          <w:tcPr>
            <w:tcW w:w="730" w:type="dxa"/>
            <w:noWrap w:val="0"/>
            <w:vAlign w:val="center"/>
          </w:tcPr>
          <w:p>
            <w:pPr>
              <w:snapToGrid w:val="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季报</w:t>
            </w:r>
          </w:p>
        </w:tc>
        <w:tc>
          <w:tcPr>
            <w:tcW w:w="1757"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辖区内符合《海南省高新技术产业统计分类目录（</w:t>
            </w:r>
            <w:r>
              <w:rPr>
                <w:rFonts w:hint="eastAsia" w:ascii="宋体" w:hAnsi="宋体" w:cs="宋体"/>
                <w:color w:val="auto"/>
                <w:kern w:val="0"/>
                <w:sz w:val="18"/>
                <w:szCs w:val="18"/>
                <w:highlight w:val="none"/>
                <w:lang w:val="en-US" w:eastAsia="zh-CN"/>
              </w:rPr>
              <w:t>2026年</w:t>
            </w:r>
            <w:r>
              <w:rPr>
                <w:rFonts w:hint="eastAsia" w:ascii="宋体" w:hAnsi="宋体" w:cs="宋体"/>
                <w:color w:val="auto"/>
                <w:kern w:val="0"/>
                <w:sz w:val="18"/>
                <w:szCs w:val="18"/>
                <w:highlight w:val="none"/>
              </w:rPr>
              <w:t>）》的“四</w:t>
            </w:r>
            <w:r>
              <w:rPr>
                <w:rFonts w:hint="eastAsia" w:ascii="宋体" w:hAnsi="宋体" w:cs="宋体"/>
                <w:color w:val="auto"/>
                <w:kern w:val="0"/>
                <w:sz w:val="18"/>
                <w:szCs w:val="18"/>
                <w:highlight w:val="none"/>
                <w:lang w:val="en-US" w:eastAsia="zh-CN"/>
              </w:rPr>
              <w:t>上</w:t>
            </w:r>
            <w:r>
              <w:rPr>
                <w:rFonts w:hint="eastAsia" w:ascii="宋体" w:hAnsi="宋体" w:cs="宋体"/>
                <w:color w:val="auto"/>
                <w:kern w:val="0"/>
                <w:sz w:val="18"/>
                <w:szCs w:val="18"/>
                <w:highlight w:val="none"/>
              </w:rPr>
              <w:t>”调查单位</w:t>
            </w:r>
          </w:p>
        </w:tc>
        <w:tc>
          <w:tcPr>
            <w:tcW w:w="1335" w:type="dxa"/>
            <w:noWrap w:val="0"/>
            <w:vAlign w:val="center"/>
          </w:tcPr>
          <w:p>
            <w:pPr>
              <w:snapToGrid w:val="0"/>
              <w:jc w:val="left"/>
              <w:rPr>
                <w:rFonts w:hint="eastAsia" w:ascii="宋体" w:hAnsi="宋体" w:eastAsia="宋体" w:cs="宋体"/>
                <w:color w:val="auto"/>
                <w:kern w:val="0"/>
                <w:sz w:val="18"/>
                <w:szCs w:val="18"/>
                <w:highlight w:val="none"/>
                <w:lang w:eastAsia="zh-CN"/>
              </w:rPr>
            </w:pPr>
            <w:r>
              <w:rPr>
                <w:rFonts w:ascii="宋体" w:hAnsi="宋体" w:cs="宋体"/>
                <w:color w:val="auto"/>
                <w:kern w:val="0"/>
                <w:sz w:val="18"/>
                <w:szCs w:val="18"/>
                <w:highlight w:val="none"/>
              </w:rPr>
              <w:t>省统计局</w:t>
            </w:r>
          </w:p>
        </w:tc>
        <w:tc>
          <w:tcPr>
            <w:tcW w:w="1710" w:type="dxa"/>
            <w:noWrap w:val="0"/>
            <w:vAlign w:val="center"/>
          </w:tcPr>
          <w:p>
            <w:pPr>
              <w:snapToGrid w:val="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季</w:t>
            </w:r>
            <w:r>
              <w:rPr>
                <w:rFonts w:hint="eastAsia" w:ascii="宋体" w:hAnsi="宋体" w:cs="宋体"/>
                <w:color w:val="auto"/>
                <w:kern w:val="0"/>
                <w:sz w:val="18"/>
                <w:szCs w:val="18"/>
                <w:highlight w:val="none"/>
              </w:rPr>
              <w:t>后</w:t>
            </w:r>
            <w:r>
              <w:rPr>
                <w:rFonts w:hint="eastAsia" w:ascii="宋体" w:hAnsi="宋体" w:cs="宋体"/>
                <w:color w:val="auto"/>
                <w:kern w:val="0"/>
                <w:sz w:val="18"/>
                <w:szCs w:val="18"/>
                <w:highlight w:val="none"/>
                <w:lang w:val="en-US" w:eastAsia="zh-CN"/>
              </w:rPr>
              <w:t>23</w:t>
            </w:r>
            <w:r>
              <w:rPr>
                <w:rFonts w:hint="eastAsia" w:ascii="宋体" w:hAnsi="宋体" w:cs="宋体"/>
                <w:color w:val="auto"/>
                <w:kern w:val="0"/>
                <w:sz w:val="18"/>
                <w:szCs w:val="18"/>
                <w:highlight w:val="none"/>
              </w:rPr>
              <w:t>日前</w:t>
            </w:r>
            <w:r>
              <w:rPr>
                <w:rFonts w:ascii="宋体" w:hAnsi="宋体" w:cs="宋体"/>
                <w:color w:val="auto"/>
                <w:kern w:val="0"/>
                <w:sz w:val="18"/>
                <w:szCs w:val="18"/>
                <w:highlight w:val="none"/>
              </w:rPr>
              <w:t>报送</w:t>
            </w:r>
            <w:r>
              <w:rPr>
                <w:rFonts w:hint="eastAsia" w:ascii="宋体" w:hAnsi="宋体" w:cs="宋体"/>
                <w:color w:val="auto"/>
                <w:kern w:val="0"/>
                <w:sz w:val="18"/>
                <w:szCs w:val="18"/>
                <w:highlight w:val="none"/>
                <w:lang w:eastAsia="zh-CN"/>
              </w:rPr>
              <w:t>季度</w:t>
            </w:r>
            <w:r>
              <w:rPr>
                <w:rFonts w:ascii="宋体" w:hAnsi="宋体" w:cs="宋体"/>
                <w:color w:val="auto"/>
                <w:kern w:val="0"/>
                <w:sz w:val="18"/>
                <w:szCs w:val="18"/>
                <w:highlight w:val="none"/>
              </w:rPr>
              <w:t>数据</w:t>
            </w:r>
            <w:r>
              <w:rPr>
                <w:rFonts w:hint="eastAsia" w:ascii="宋体" w:hAnsi="宋体" w:cs="宋体"/>
                <w:color w:val="auto"/>
                <w:kern w:val="0"/>
                <w:sz w:val="18"/>
                <w:szCs w:val="18"/>
                <w:highlight w:val="none"/>
              </w:rPr>
              <w:t>。</w:t>
            </w:r>
          </w:p>
        </w:tc>
        <w:tc>
          <w:tcPr>
            <w:tcW w:w="1421" w:type="dxa"/>
            <w:noWrap w:val="0"/>
            <w:vAlign w:val="center"/>
          </w:tcPr>
          <w:p>
            <w:pPr>
              <w:widowControl/>
              <w:snapToGrid w:val="0"/>
              <w:spacing w:line="360" w:lineRule="auto"/>
              <w:jc w:val="center"/>
              <w:rPr>
                <w:rFonts w:ascii="宋体" w:hAnsi="宋体" w:cs="宋体"/>
                <w:color w:val="auto"/>
                <w:kern w:val="0"/>
                <w:sz w:val="18"/>
                <w:szCs w:val="18"/>
                <w:highlight w:val="none"/>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78" w:hRule="atLeast"/>
        </w:trPr>
        <w:tc>
          <w:tcPr>
            <w:tcW w:w="984" w:type="dxa"/>
            <w:noWrap w:val="0"/>
            <w:vAlign w:val="center"/>
          </w:tcPr>
          <w:p>
            <w:pPr>
              <w:snapToGrid w:val="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GC10</w:t>
            </w:r>
            <w:r>
              <w:rPr>
                <w:rFonts w:hint="eastAsia" w:ascii="宋体" w:hAnsi="宋体" w:cs="宋体"/>
                <w:color w:val="auto"/>
                <w:kern w:val="0"/>
                <w:sz w:val="18"/>
                <w:szCs w:val="18"/>
                <w:highlight w:val="none"/>
                <w:lang w:val="en-US" w:eastAsia="zh-CN"/>
              </w:rPr>
              <w:t>2</w:t>
            </w:r>
            <w:r>
              <w:rPr>
                <w:rFonts w:hint="eastAsia" w:ascii="宋体" w:hAnsi="宋体" w:cs="宋体"/>
                <w:color w:val="auto"/>
                <w:kern w:val="0"/>
                <w:sz w:val="18"/>
                <w:szCs w:val="18"/>
                <w:highlight w:val="none"/>
              </w:rPr>
              <w:t>表</w:t>
            </w:r>
          </w:p>
        </w:tc>
        <w:tc>
          <w:tcPr>
            <w:tcW w:w="1350"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高新技术产业经营情况综合表</w:t>
            </w:r>
            <w:r>
              <w:rPr>
                <w:rFonts w:hint="default" w:ascii="宋体" w:hAnsi="宋体" w:cs="宋体"/>
                <w:color w:val="auto"/>
                <w:kern w:val="0"/>
                <w:sz w:val="18"/>
                <w:szCs w:val="18"/>
                <w:highlight w:val="none"/>
              </w:rPr>
              <w:t>（“四下”调查单位）</w:t>
            </w:r>
          </w:p>
        </w:tc>
        <w:tc>
          <w:tcPr>
            <w:tcW w:w="730"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季报</w:t>
            </w:r>
          </w:p>
        </w:tc>
        <w:tc>
          <w:tcPr>
            <w:tcW w:w="1757"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辖区内经省科技厅认定的海南省高新技术企业中符合《海南省高新技术产业统计分类目录（</w:t>
            </w:r>
            <w:r>
              <w:rPr>
                <w:rFonts w:hint="eastAsia" w:ascii="宋体" w:hAnsi="宋体" w:cs="宋体"/>
                <w:color w:val="auto"/>
                <w:kern w:val="0"/>
                <w:sz w:val="18"/>
                <w:szCs w:val="18"/>
                <w:highlight w:val="none"/>
                <w:lang w:val="en-US" w:eastAsia="zh-CN"/>
              </w:rPr>
              <w:t>2026年</w:t>
            </w:r>
            <w:r>
              <w:rPr>
                <w:rFonts w:hint="eastAsia" w:ascii="宋体" w:hAnsi="宋体" w:cs="宋体"/>
                <w:color w:val="auto"/>
                <w:kern w:val="0"/>
                <w:sz w:val="18"/>
                <w:szCs w:val="18"/>
                <w:highlight w:val="none"/>
              </w:rPr>
              <w:t>）》中的</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eastAsia="zh-CN"/>
              </w:rPr>
              <w:t>四下</w:t>
            </w:r>
            <w:r>
              <w:rPr>
                <w:rFonts w:hint="eastAsia" w:ascii="宋体" w:hAnsi="宋体" w:eastAsia="宋体" w:cs="宋体"/>
                <w:color w:val="auto"/>
                <w:kern w:val="0"/>
                <w:sz w:val="18"/>
                <w:szCs w:val="18"/>
                <w:highlight w:val="none"/>
              </w:rPr>
              <w:t>”企业法人单位</w:t>
            </w:r>
          </w:p>
        </w:tc>
        <w:tc>
          <w:tcPr>
            <w:tcW w:w="1335"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省科技厅</w:t>
            </w:r>
          </w:p>
        </w:tc>
        <w:tc>
          <w:tcPr>
            <w:tcW w:w="1710" w:type="dxa"/>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季后</w:t>
            </w:r>
            <w:r>
              <w:rPr>
                <w:rFonts w:hint="eastAsia" w:ascii="宋体" w:hAnsi="宋体" w:cs="宋体"/>
                <w:color w:val="auto"/>
                <w:kern w:val="0"/>
                <w:sz w:val="18"/>
                <w:szCs w:val="18"/>
                <w:highlight w:val="none"/>
                <w:lang w:val="en-US" w:eastAsia="zh-CN"/>
              </w:rPr>
              <w:t>23</w:t>
            </w:r>
            <w:r>
              <w:rPr>
                <w:rFonts w:hint="eastAsia" w:ascii="宋体" w:hAnsi="宋体" w:cs="宋体"/>
                <w:color w:val="auto"/>
                <w:kern w:val="0"/>
                <w:sz w:val="18"/>
                <w:szCs w:val="18"/>
                <w:highlight w:val="none"/>
              </w:rPr>
              <w:t>日前</w:t>
            </w:r>
            <w:r>
              <w:rPr>
                <w:rFonts w:ascii="宋体" w:hAnsi="宋体" w:cs="宋体"/>
                <w:color w:val="auto"/>
                <w:kern w:val="0"/>
                <w:sz w:val="18"/>
                <w:szCs w:val="18"/>
                <w:highlight w:val="none"/>
              </w:rPr>
              <w:t>报送</w:t>
            </w:r>
            <w:r>
              <w:rPr>
                <w:rFonts w:hint="eastAsia" w:ascii="宋体" w:hAnsi="宋体" w:cs="宋体"/>
                <w:color w:val="auto"/>
                <w:kern w:val="0"/>
                <w:sz w:val="18"/>
                <w:szCs w:val="18"/>
                <w:highlight w:val="none"/>
                <w:lang w:eastAsia="zh-CN"/>
              </w:rPr>
              <w:t>季度</w:t>
            </w:r>
            <w:r>
              <w:rPr>
                <w:rFonts w:hint="eastAsia" w:ascii="宋体" w:hAnsi="宋体" w:cs="宋体"/>
                <w:color w:val="auto"/>
                <w:kern w:val="0"/>
                <w:sz w:val="18"/>
                <w:szCs w:val="18"/>
                <w:highlight w:val="none"/>
              </w:rPr>
              <w:t>汇总</w:t>
            </w:r>
            <w:r>
              <w:rPr>
                <w:rFonts w:ascii="宋体" w:hAnsi="宋体" w:cs="宋体"/>
                <w:color w:val="auto"/>
                <w:kern w:val="0"/>
                <w:sz w:val="18"/>
                <w:szCs w:val="18"/>
                <w:highlight w:val="none"/>
              </w:rPr>
              <w:t>数据</w:t>
            </w:r>
            <w:r>
              <w:rPr>
                <w:rFonts w:hint="eastAsia" w:ascii="宋体" w:hAnsi="宋体" w:cs="宋体"/>
                <w:color w:val="auto"/>
                <w:kern w:val="0"/>
                <w:sz w:val="18"/>
                <w:szCs w:val="18"/>
                <w:highlight w:val="none"/>
              </w:rPr>
              <w:t>。</w:t>
            </w:r>
          </w:p>
        </w:tc>
        <w:tc>
          <w:tcPr>
            <w:tcW w:w="1421" w:type="dxa"/>
            <w:noWrap w:val="0"/>
            <w:vAlign w:val="center"/>
          </w:tcPr>
          <w:p>
            <w:pPr>
              <w:snapToGrid w:val="0"/>
              <w:jc w:val="left"/>
              <w:rPr>
                <w:rFonts w:ascii="宋体" w:hAnsi="宋体" w:cs="宋体"/>
                <w:color w:val="auto"/>
                <w:kern w:val="0"/>
                <w:sz w:val="18"/>
                <w:szCs w:val="18"/>
                <w:highlight w:val="none"/>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984" w:type="dxa"/>
            <w:tcBorders>
              <w:top w:val="single" w:color="auto" w:sz="4" w:space="0"/>
              <w:bottom w:val="single" w:color="auto" w:sz="4" w:space="0"/>
            </w:tcBorders>
            <w:noWrap w:val="0"/>
            <w:vAlign w:val="center"/>
          </w:tcPr>
          <w:p>
            <w:pPr>
              <w:snapToGrid w:val="0"/>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GC10</w:t>
            </w:r>
            <w:r>
              <w:rPr>
                <w:rFonts w:hint="eastAsia"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rPr>
              <w:t>表</w:t>
            </w:r>
          </w:p>
        </w:tc>
        <w:tc>
          <w:tcPr>
            <w:tcW w:w="1350" w:type="dxa"/>
            <w:tcBorders>
              <w:top w:val="single" w:color="auto" w:sz="4" w:space="0"/>
              <w:bottom w:val="single" w:color="auto" w:sz="4" w:space="0"/>
            </w:tcBorders>
            <w:noWrap w:val="0"/>
            <w:vAlign w:val="center"/>
          </w:tcPr>
          <w:p>
            <w:pPr>
              <w:snapToGrid w:val="0"/>
              <w:jc w:val="left"/>
              <w:rPr>
                <w:rFonts w:hint="eastAsia" w:ascii="宋体" w:hAnsi="宋体" w:eastAsia="宋体" w:cs="宋体"/>
                <w:color w:val="auto"/>
                <w:kern w:val="0"/>
                <w:sz w:val="18"/>
                <w:szCs w:val="18"/>
                <w:highlight w:val="none"/>
              </w:rPr>
            </w:pPr>
            <w:r>
              <w:rPr>
                <w:rFonts w:hint="eastAsia" w:ascii="宋体" w:hAnsi="宋体" w:cs="宋体"/>
                <w:color w:val="auto"/>
                <w:kern w:val="0"/>
                <w:sz w:val="18"/>
                <w:szCs w:val="18"/>
                <w:highlight w:val="none"/>
                <w:lang w:eastAsia="zh-CN"/>
              </w:rPr>
              <w:t>高新育种及服务产业调查</w:t>
            </w:r>
            <w:r>
              <w:rPr>
                <w:rFonts w:hint="eastAsia" w:ascii="宋体" w:hAnsi="宋体" w:eastAsia="宋体" w:cs="宋体"/>
                <w:color w:val="auto"/>
                <w:kern w:val="0"/>
                <w:sz w:val="18"/>
                <w:szCs w:val="18"/>
                <w:highlight w:val="none"/>
              </w:rPr>
              <w:t>单位名录</w:t>
            </w:r>
          </w:p>
        </w:tc>
        <w:tc>
          <w:tcPr>
            <w:tcW w:w="730" w:type="dxa"/>
            <w:tcBorders>
              <w:top w:val="single" w:color="auto" w:sz="4" w:space="0"/>
              <w:bottom w:val="single" w:color="auto" w:sz="4" w:space="0"/>
            </w:tcBorders>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季报</w:t>
            </w:r>
          </w:p>
        </w:tc>
        <w:tc>
          <w:tcPr>
            <w:tcW w:w="1757" w:type="dxa"/>
            <w:tcBorders>
              <w:top w:val="single" w:color="auto" w:sz="4" w:space="0"/>
              <w:bottom w:val="single" w:color="auto" w:sz="4" w:space="0"/>
            </w:tcBorders>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省</w:t>
            </w:r>
            <w:r>
              <w:rPr>
                <w:rFonts w:hint="eastAsia" w:ascii="宋体" w:hAnsi="宋体" w:cs="宋体"/>
                <w:color w:val="auto"/>
                <w:kern w:val="0"/>
                <w:sz w:val="18"/>
                <w:szCs w:val="18"/>
                <w:highlight w:val="none"/>
              </w:rPr>
              <w:t>农业农村厅、省统计局、省工信厅、三亚崖州湾科技城共同研究确定</w:t>
            </w:r>
            <w:r>
              <w:rPr>
                <w:rFonts w:hint="eastAsia" w:ascii="宋体" w:hAnsi="宋体" w:cs="宋体"/>
                <w:color w:val="auto"/>
                <w:kern w:val="0"/>
                <w:sz w:val="18"/>
                <w:szCs w:val="18"/>
                <w:highlight w:val="none"/>
                <w:lang w:eastAsia="zh-CN"/>
              </w:rPr>
              <w:t>的调查单位</w:t>
            </w:r>
          </w:p>
        </w:tc>
        <w:tc>
          <w:tcPr>
            <w:tcW w:w="1335" w:type="dxa"/>
            <w:tcBorders>
              <w:top w:val="single" w:color="auto" w:sz="4" w:space="0"/>
              <w:bottom w:val="single" w:color="auto" w:sz="4" w:space="0"/>
            </w:tcBorders>
            <w:noWrap w:val="0"/>
            <w:vAlign w:val="center"/>
          </w:tcPr>
          <w:p>
            <w:pPr>
              <w:snapToGrid w:val="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省统计局</w:t>
            </w:r>
          </w:p>
        </w:tc>
        <w:tc>
          <w:tcPr>
            <w:tcW w:w="1710" w:type="dxa"/>
            <w:tcBorders>
              <w:top w:val="single" w:color="auto" w:sz="4" w:space="0"/>
              <w:bottom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9</w:t>
            </w:r>
            <w:r>
              <w:rPr>
                <w:rFonts w:hint="eastAsia" w:ascii="宋体" w:hAnsi="宋体" w:cs="宋体"/>
                <w:color w:val="auto"/>
                <w:kern w:val="0"/>
                <w:sz w:val="18"/>
                <w:szCs w:val="18"/>
                <w:highlight w:val="none"/>
              </w:rPr>
              <w:t>月、次年</w:t>
            </w:r>
            <w:r>
              <w:rPr>
                <w:rFonts w:hint="eastAsia" w:ascii="宋体" w:hAnsi="宋体" w:cs="宋体"/>
                <w:color w:val="auto"/>
                <w:kern w:val="0"/>
                <w:sz w:val="18"/>
                <w:szCs w:val="18"/>
                <w:highlight w:val="none"/>
                <w:lang w:val="en-US" w:eastAsia="zh-CN"/>
              </w:rPr>
              <w:t>3</w:t>
            </w:r>
            <w:r>
              <w:rPr>
                <w:rFonts w:hint="eastAsia" w:ascii="宋体" w:hAnsi="宋体" w:cs="宋体"/>
                <w:color w:val="auto"/>
                <w:kern w:val="0"/>
                <w:sz w:val="18"/>
                <w:szCs w:val="18"/>
                <w:highlight w:val="none"/>
              </w:rPr>
              <w:t>月的</w:t>
            </w:r>
            <w:r>
              <w:rPr>
                <w:rFonts w:hint="eastAsia" w:ascii="宋体" w:hAnsi="宋体" w:cs="宋体"/>
                <w:color w:val="auto"/>
                <w:kern w:val="0"/>
                <w:sz w:val="18"/>
                <w:szCs w:val="18"/>
                <w:highlight w:val="none"/>
                <w:lang w:val="en-US" w:eastAsia="zh-CN"/>
              </w:rPr>
              <w:t>23</w:t>
            </w:r>
            <w:r>
              <w:rPr>
                <w:rFonts w:hint="eastAsia" w:ascii="宋体" w:hAnsi="宋体" w:cs="宋体"/>
                <w:color w:val="auto"/>
                <w:kern w:val="0"/>
                <w:sz w:val="18"/>
                <w:szCs w:val="18"/>
                <w:highlight w:val="none"/>
              </w:rPr>
              <w:t>日前</w:t>
            </w:r>
            <w:r>
              <w:rPr>
                <w:rFonts w:ascii="宋体" w:hAnsi="宋体" w:cs="宋体"/>
                <w:color w:val="auto"/>
                <w:kern w:val="0"/>
                <w:sz w:val="18"/>
                <w:szCs w:val="18"/>
                <w:highlight w:val="none"/>
              </w:rPr>
              <w:t>报送</w:t>
            </w:r>
            <w:r>
              <w:rPr>
                <w:rFonts w:hint="eastAsia" w:ascii="宋体" w:hAnsi="宋体" w:cs="宋体"/>
                <w:color w:val="auto"/>
                <w:kern w:val="0"/>
                <w:sz w:val="18"/>
                <w:szCs w:val="18"/>
                <w:highlight w:val="none"/>
                <w:lang w:eastAsia="zh-CN"/>
              </w:rPr>
              <w:t>名录。</w:t>
            </w:r>
          </w:p>
        </w:tc>
        <w:tc>
          <w:tcPr>
            <w:tcW w:w="1421" w:type="dxa"/>
            <w:tcBorders>
              <w:top w:val="single" w:color="auto" w:sz="4" w:space="0"/>
              <w:bottom w:val="single" w:color="auto" w:sz="4" w:space="0"/>
            </w:tcBorders>
            <w:noWrap w:val="0"/>
            <w:vAlign w:val="center"/>
          </w:tcPr>
          <w:p>
            <w:pPr>
              <w:snapToGrid w:val="0"/>
              <w:jc w:val="left"/>
              <w:rPr>
                <w:rFonts w:hint="default" w:ascii="宋体" w:hAnsi="宋体" w:cs="宋体"/>
                <w:color w:val="auto"/>
                <w:kern w:val="0"/>
                <w:sz w:val="18"/>
                <w:szCs w:val="18"/>
                <w:highlight w:val="none"/>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984"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GC10</w:t>
            </w:r>
            <w:r>
              <w:rPr>
                <w:rFonts w:hint="eastAsia" w:ascii="宋体" w:hAnsi="宋体" w:eastAsia="宋体" w:cs="宋体"/>
                <w:color w:val="auto"/>
                <w:kern w:val="0"/>
                <w:sz w:val="18"/>
                <w:szCs w:val="18"/>
                <w:highlight w:val="none"/>
                <w:lang w:val="en-US" w:eastAsia="zh-CN"/>
              </w:rPr>
              <w:t>4</w:t>
            </w:r>
            <w:r>
              <w:rPr>
                <w:rFonts w:hint="eastAsia" w:ascii="宋体" w:hAnsi="宋体" w:eastAsia="宋体" w:cs="宋体"/>
                <w:color w:val="auto"/>
                <w:kern w:val="0"/>
                <w:sz w:val="18"/>
                <w:szCs w:val="18"/>
                <w:highlight w:val="none"/>
              </w:rPr>
              <w:t>表</w:t>
            </w:r>
          </w:p>
        </w:tc>
        <w:tc>
          <w:tcPr>
            <w:tcW w:w="1350"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高新育种及服务</w:t>
            </w:r>
            <w:r>
              <w:rPr>
                <w:rFonts w:hint="eastAsia" w:ascii="宋体" w:hAnsi="宋体" w:cs="宋体"/>
                <w:color w:val="auto"/>
                <w:kern w:val="0"/>
                <w:sz w:val="18"/>
                <w:szCs w:val="18"/>
                <w:highlight w:val="none"/>
              </w:rPr>
              <w:t>产业经营</w:t>
            </w:r>
            <w:r>
              <w:rPr>
                <w:rFonts w:ascii="宋体" w:hAnsi="宋体" w:cs="宋体"/>
                <w:color w:val="auto"/>
                <w:kern w:val="0"/>
                <w:sz w:val="18"/>
                <w:szCs w:val="18"/>
                <w:highlight w:val="none"/>
              </w:rPr>
              <w:t>情况</w:t>
            </w:r>
            <w:r>
              <w:rPr>
                <w:rFonts w:hint="eastAsia" w:ascii="宋体" w:hAnsi="宋体" w:cs="宋体"/>
                <w:color w:val="auto"/>
                <w:kern w:val="0"/>
                <w:sz w:val="18"/>
                <w:szCs w:val="18"/>
                <w:highlight w:val="none"/>
              </w:rPr>
              <w:t>综合表</w:t>
            </w:r>
          </w:p>
        </w:tc>
        <w:tc>
          <w:tcPr>
            <w:tcW w:w="730"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季报</w:t>
            </w:r>
          </w:p>
        </w:tc>
        <w:tc>
          <w:tcPr>
            <w:tcW w:w="1757" w:type="dxa"/>
            <w:tcBorders>
              <w:top w:val="single" w:color="auto" w:sz="4" w:space="0"/>
            </w:tcBorders>
            <w:noWrap w:val="0"/>
            <w:vAlign w:val="center"/>
          </w:tcPr>
          <w:p>
            <w:pPr>
              <w:snapToGrid w:val="0"/>
              <w:jc w:val="left"/>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省</w:t>
            </w:r>
            <w:r>
              <w:rPr>
                <w:rFonts w:hint="eastAsia" w:ascii="宋体" w:hAnsi="宋体" w:cs="宋体"/>
                <w:color w:val="auto"/>
                <w:kern w:val="0"/>
                <w:sz w:val="18"/>
                <w:szCs w:val="18"/>
                <w:highlight w:val="none"/>
              </w:rPr>
              <w:t>农业农村厅、省统计局、省工信厅、三亚崖州湾科技城共同研究确定</w:t>
            </w:r>
            <w:r>
              <w:rPr>
                <w:rFonts w:hint="eastAsia" w:ascii="宋体" w:hAnsi="宋体" w:cs="宋体"/>
                <w:color w:val="auto"/>
                <w:kern w:val="0"/>
                <w:sz w:val="18"/>
                <w:szCs w:val="18"/>
                <w:highlight w:val="none"/>
                <w:lang w:eastAsia="zh-CN"/>
              </w:rPr>
              <w:t>的调查单位</w:t>
            </w:r>
          </w:p>
        </w:tc>
        <w:tc>
          <w:tcPr>
            <w:tcW w:w="1335"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省统计局、三亚崖州湾科技城</w:t>
            </w:r>
          </w:p>
        </w:tc>
        <w:tc>
          <w:tcPr>
            <w:tcW w:w="1710"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季后</w:t>
            </w:r>
            <w:r>
              <w:rPr>
                <w:rFonts w:hint="eastAsia" w:ascii="宋体" w:hAnsi="宋体" w:cs="宋体"/>
                <w:color w:val="auto"/>
                <w:kern w:val="0"/>
                <w:sz w:val="18"/>
                <w:szCs w:val="18"/>
                <w:highlight w:val="none"/>
                <w:lang w:val="en-US" w:eastAsia="zh-CN"/>
              </w:rPr>
              <w:t>23</w:t>
            </w:r>
            <w:r>
              <w:rPr>
                <w:rFonts w:hint="eastAsia" w:ascii="宋体" w:hAnsi="宋体" w:cs="宋体"/>
                <w:color w:val="auto"/>
                <w:kern w:val="0"/>
                <w:sz w:val="18"/>
                <w:szCs w:val="18"/>
                <w:highlight w:val="none"/>
              </w:rPr>
              <w:t>日前</w:t>
            </w:r>
            <w:r>
              <w:rPr>
                <w:rFonts w:ascii="宋体" w:hAnsi="宋体" w:cs="宋体"/>
                <w:color w:val="auto"/>
                <w:kern w:val="0"/>
                <w:sz w:val="18"/>
                <w:szCs w:val="18"/>
                <w:highlight w:val="none"/>
              </w:rPr>
              <w:t>报送</w:t>
            </w:r>
            <w:r>
              <w:rPr>
                <w:rFonts w:hint="eastAsia" w:ascii="宋体" w:hAnsi="宋体" w:cs="宋体"/>
                <w:color w:val="auto"/>
                <w:kern w:val="0"/>
                <w:sz w:val="18"/>
                <w:szCs w:val="18"/>
                <w:highlight w:val="none"/>
                <w:lang w:eastAsia="zh-CN"/>
              </w:rPr>
              <w:t>季度</w:t>
            </w:r>
            <w:r>
              <w:rPr>
                <w:rFonts w:hint="eastAsia" w:ascii="宋体" w:hAnsi="宋体" w:cs="宋体"/>
                <w:color w:val="auto"/>
                <w:kern w:val="0"/>
                <w:sz w:val="18"/>
                <w:szCs w:val="18"/>
                <w:highlight w:val="none"/>
              </w:rPr>
              <w:t>汇总</w:t>
            </w:r>
            <w:r>
              <w:rPr>
                <w:rFonts w:ascii="宋体" w:hAnsi="宋体" w:cs="宋体"/>
                <w:color w:val="auto"/>
                <w:kern w:val="0"/>
                <w:sz w:val="18"/>
                <w:szCs w:val="18"/>
                <w:highlight w:val="none"/>
              </w:rPr>
              <w:t>数据</w:t>
            </w:r>
            <w:r>
              <w:rPr>
                <w:rFonts w:hint="eastAsia" w:ascii="宋体" w:hAnsi="宋体" w:cs="宋体"/>
                <w:color w:val="auto"/>
                <w:kern w:val="0"/>
                <w:sz w:val="18"/>
                <w:szCs w:val="18"/>
                <w:highlight w:val="none"/>
                <w:lang w:eastAsia="zh-CN"/>
              </w:rPr>
              <w:t>。</w:t>
            </w:r>
          </w:p>
        </w:tc>
        <w:tc>
          <w:tcPr>
            <w:tcW w:w="1421" w:type="dxa"/>
            <w:tcBorders>
              <w:top w:val="single" w:color="auto" w:sz="4" w:space="0"/>
            </w:tcBorders>
            <w:noWrap w:val="0"/>
            <w:vAlign w:val="center"/>
          </w:tcPr>
          <w:p>
            <w:pPr>
              <w:snapToGrid w:val="0"/>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省统计局提供</w:t>
            </w:r>
            <w:r>
              <w:rPr>
                <w:rFonts w:hint="eastAsia" w:ascii="宋体" w:hAnsi="宋体" w:cs="宋体"/>
                <w:color w:val="auto"/>
                <w:kern w:val="0"/>
                <w:sz w:val="18"/>
                <w:szCs w:val="18"/>
                <w:highlight w:val="none"/>
              </w:rPr>
              <w:t>高新育种及服务产业</w:t>
            </w:r>
            <w:r>
              <w:rPr>
                <w:rFonts w:hint="eastAsia" w:ascii="宋体" w:hAnsi="宋体" w:cs="宋体"/>
                <w:color w:val="auto"/>
                <w:kern w:val="0"/>
                <w:sz w:val="18"/>
                <w:szCs w:val="18"/>
                <w:highlight w:val="none"/>
                <w:lang w:eastAsia="zh-CN"/>
              </w:rPr>
              <w:t>名录中在库“四上”企业经营情况</w:t>
            </w:r>
          </w:p>
        </w:tc>
      </w:tr>
    </w:tbl>
    <w:p>
      <w:pPr>
        <w:widowControl/>
        <w:jc w:val="center"/>
        <w:rPr>
          <w:rFonts w:ascii="黑体" w:hAnsi="宋体" w:eastAsia="黑体"/>
          <w:color w:val="auto"/>
          <w:sz w:val="28"/>
          <w:szCs w:val="28"/>
          <w:highlight w:val="none"/>
        </w:rPr>
      </w:pPr>
    </w:p>
    <w:p>
      <w:pPr>
        <w:tabs>
          <w:tab w:val="center" w:pos="4706"/>
        </w:tabs>
        <w:rPr>
          <w:rFonts w:hint="eastAsia" w:ascii="黑体" w:hAnsi="宋体" w:eastAsia="黑体"/>
          <w:color w:val="auto"/>
          <w:sz w:val="28"/>
          <w:szCs w:val="28"/>
          <w:highlight w:val="none"/>
        </w:rPr>
        <w:sectPr>
          <w:headerReference r:id="rId9" w:type="default"/>
          <w:footerReference r:id="rId10" w:type="default"/>
          <w:pgSz w:w="11850" w:h="16783"/>
          <w:pgMar w:top="1247" w:right="1247" w:bottom="1247" w:left="1247" w:header="851" w:footer="850" w:gutter="0"/>
          <w:pgBorders>
            <w:top w:val="none" w:sz="0" w:space="0"/>
            <w:left w:val="none" w:sz="0" w:space="0"/>
            <w:bottom w:val="none" w:sz="0" w:space="0"/>
            <w:right w:val="none" w:sz="0" w:space="0"/>
          </w:pgBorders>
          <w:pgNumType w:fmt="decimal" w:start="1"/>
          <w:cols w:space="720" w:num="1"/>
          <w:docGrid w:linePitch="312" w:charSpace="0"/>
        </w:sectPr>
      </w:pPr>
    </w:p>
    <w:p>
      <w:pPr>
        <w:pStyle w:val="4"/>
        <w:keepNext/>
        <w:keepLines/>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ascii="黑体" w:hAnsi="宋体" w:eastAsia="黑体"/>
          <w:color w:val="auto"/>
          <w:sz w:val="28"/>
          <w:szCs w:val="28"/>
          <w:highlight w:val="none"/>
        </w:rPr>
      </w:pPr>
      <w:bookmarkStart w:id="34" w:name="_Toc22273"/>
      <w:bookmarkStart w:id="35" w:name="_Toc22999"/>
      <w:bookmarkStart w:id="36" w:name="_Toc22690"/>
      <w:bookmarkStart w:id="37" w:name="_Toc16673"/>
      <w:bookmarkStart w:id="38" w:name="_Toc5208"/>
      <w:bookmarkStart w:id="39" w:name="_Toc15363"/>
      <w:bookmarkStart w:id="40" w:name="_Toc18256"/>
      <w:bookmarkStart w:id="41" w:name="_Toc32435"/>
      <w:bookmarkStart w:id="42" w:name="_Toc29836"/>
      <w:bookmarkStart w:id="43" w:name="_Toc7942"/>
      <w:bookmarkStart w:id="44" w:name="_Toc1410288537"/>
      <w:bookmarkStart w:id="45" w:name="_Toc12076"/>
      <w:bookmarkStart w:id="46" w:name="_Toc22285"/>
      <w:bookmarkStart w:id="47" w:name="_Toc2161"/>
      <w:bookmarkStart w:id="48" w:name="_Toc13783"/>
      <w:r>
        <w:rPr>
          <w:rFonts w:hint="eastAsia" w:ascii="黑体" w:hAnsi="黑体" w:eastAsia="黑体" w:cs="黑体"/>
          <w:b w:val="0"/>
          <w:bCs w:val="0"/>
          <w:snapToGrid w:val="0"/>
          <w:color w:val="auto"/>
          <w:sz w:val="32"/>
          <w:szCs w:val="32"/>
          <w:highlight w:val="none"/>
        </w:rPr>
        <w:t>三、报 表 表 式</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Start w:id="49" w:name="_Toc8937"/>
      <w:bookmarkStart w:id="50" w:name="_Toc9548"/>
      <w:bookmarkStart w:id="51" w:name="_Toc12633"/>
    </w:p>
    <w:bookmarkEnd w:id="49"/>
    <w:bookmarkEnd w:id="50"/>
    <w:bookmarkEnd w:id="51"/>
    <w:p>
      <w:pPr>
        <w:snapToGrid w:val="0"/>
        <w:spacing w:before="0" w:beforeLines="0" w:after="0" w:afterLines="0" w:line="560" w:lineRule="exact"/>
        <w:jc w:val="center"/>
        <w:outlineLvl w:val="1"/>
        <w:rPr>
          <w:rFonts w:hint="eastAsia" w:ascii="宋体" w:hAnsi="宋体"/>
          <w:color w:val="auto"/>
          <w:sz w:val="18"/>
          <w:szCs w:val="18"/>
          <w:highlight w:val="none"/>
        </w:rPr>
      </w:pPr>
      <w:bookmarkStart w:id="52" w:name="_Toc1730704417"/>
      <w:bookmarkStart w:id="53" w:name="_Toc19431"/>
      <w:bookmarkStart w:id="54" w:name="_Toc4572"/>
      <w:bookmarkStart w:id="55" w:name="_Toc12349"/>
      <w:bookmarkStart w:id="56" w:name="_Toc32508"/>
      <w:bookmarkStart w:id="57" w:name="_Toc3470"/>
      <w:bookmarkStart w:id="58" w:name="_Toc16692"/>
      <w:bookmarkStart w:id="59" w:name="_Toc26497"/>
      <w:bookmarkStart w:id="60" w:name="_Toc4518"/>
      <w:bookmarkStart w:id="61" w:name="_Toc18514"/>
      <w:bookmarkStart w:id="62" w:name="_Toc25852"/>
      <w:bookmarkStart w:id="63" w:name="_Toc19523"/>
      <w:r>
        <w:rPr>
          <w:rFonts w:hint="eastAsia" w:ascii="宋体" w:hAnsi="宋体" w:cs="宋体"/>
          <w:color w:val="auto"/>
          <w:sz w:val="32"/>
          <w:szCs w:val="32"/>
          <w:highlight w:val="none"/>
        </w:rPr>
        <w:t>高</w:t>
      </w:r>
      <w:r>
        <w:rPr>
          <w:rFonts w:ascii="宋体" w:hAnsi="宋体" w:cs="宋体"/>
          <w:color w:val="auto"/>
          <w:sz w:val="32"/>
          <w:szCs w:val="32"/>
          <w:highlight w:val="none"/>
        </w:rPr>
        <w:t>新技术</w:t>
      </w:r>
      <w:r>
        <w:rPr>
          <w:rFonts w:hint="eastAsia" w:ascii="宋体" w:hAnsi="宋体" w:cs="宋体"/>
          <w:color w:val="auto"/>
          <w:sz w:val="32"/>
          <w:szCs w:val="32"/>
          <w:highlight w:val="none"/>
        </w:rPr>
        <w:t>产业经营</w:t>
      </w:r>
      <w:r>
        <w:rPr>
          <w:rFonts w:ascii="宋体" w:hAnsi="宋体" w:cs="宋体"/>
          <w:color w:val="auto"/>
          <w:sz w:val="32"/>
          <w:szCs w:val="32"/>
          <w:highlight w:val="none"/>
        </w:rPr>
        <w:t>情况</w:t>
      </w:r>
      <w:r>
        <w:rPr>
          <w:rFonts w:hint="eastAsia" w:ascii="宋体" w:hAnsi="宋体" w:cs="宋体"/>
          <w:color w:val="auto"/>
          <w:sz w:val="32"/>
          <w:szCs w:val="32"/>
          <w:highlight w:val="none"/>
        </w:rPr>
        <w:t>综合</w:t>
      </w:r>
      <w:r>
        <w:rPr>
          <w:rFonts w:ascii="宋体" w:hAnsi="宋体" w:cs="宋体"/>
          <w:color w:val="auto"/>
          <w:sz w:val="32"/>
          <w:szCs w:val="32"/>
          <w:highlight w:val="none"/>
        </w:rPr>
        <w:t>表</w:t>
      </w:r>
      <w:bookmarkEnd w:id="52"/>
      <w:bookmarkEnd w:id="53"/>
      <w:bookmarkEnd w:id="54"/>
      <w:bookmarkEnd w:id="55"/>
      <w:bookmarkEnd w:id="56"/>
      <w:bookmarkEnd w:id="57"/>
      <w:bookmarkEnd w:id="58"/>
      <w:bookmarkEnd w:id="59"/>
      <w:bookmarkEnd w:id="60"/>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eastAsia="zh-CN"/>
        </w:rPr>
        <w:t>“四上”调查单位</w:t>
      </w:r>
      <w:r>
        <w:rPr>
          <w:rFonts w:hint="eastAsia" w:ascii="宋体" w:hAnsi="宋体" w:eastAsia="宋体" w:cs="宋体"/>
          <w:color w:val="auto"/>
          <w:sz w:val="32"/>
          <w:szCs w:val="32"/>
          <w:highlight w:val="none"/>
        </w:rPr>
        <w:t>）</w:t>
      </w:r>
      <w:bookmarkEnd w:id="61"/>
      <w:bookmarkEnd w:id="62"/>
      <w:bookmarkEnd w:id="63"/>
      <w:r>
        <w:rPr>
          <w:rFonts w:hint="eastAsia" w:ascii="宋体" w:hAnsi="宋体" w:eastAsia="宋体" w:cs="宋体"/>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val="0"/>
        <w:spacing w:before="480" w:beforeLines="200" w:after="0" w:afterLines="0" w:line="240" w:lineRule="auto"/>
        <w:ind w:left="418" w:leftChars="199" w:firstLine="10080" w:firstLineChars="5600"/>
        <w:jc w:val="both"/>
        <w:textAlignment w:val="auto"/>
        <w:outlineLvl w:val="9"/>
        <w:rPr>
          <w:rFonts w:ascii="宋体" w:hAnsi="宋体" w:cs="宋体"/>
          <w:color w:val="auto"/>
          <w:sz w:val="18"/>
          <w:szCs w:val="18"/>
          <w:highlight w:val="none"/>
        </w:rPr>
      </w:pPr>
      <w:bookmarkStart w:id="64" w:name="_Toc8354"/>
      <w:r>
        <w:rPr>
          <w:rFonts w:hint="eastAsia" w:ascii="宋体" w:hAnsi="宋体"/>
          <w:color w:val="auto"/>
          <w:sz w:val="18"/>
          <w:szCs w:val="18"/>
          <w:highlight w:val="none"/>
        </w:rPr>
        <w:t>表    号：GC101表</w:t>
      </w:r>
      <w:bookmarkEnd w:id="64"/>
      <w:r>
        <w:rPr>
          <w:rFonts w:hint="eastAsia" w:ascii="宋体" w:hAnsi="宋体"/>
          <w:color w:val="auto"/>
          <w:sz w:val="18"/>
          <w:szCs w:val="18"/>
          <w:highlight w:val="none"/>
        </w:rPr>
        <w:t xml:space="preserve"> </w:t>
      </w:r>
    </w:p>
    <w:p>
      <w:pPr>
        <w:spacing w:line="240" w:lineRule="exact"/>
        <w:ind w:left="418" w:leftChars="199" w:firstLine="10080" w:firstLineChars="5600"/>
        <w:rPr>
          <w:rFonts w:ascii="宋体" w:hAnsi="宋体" w:cs="宋体"/>
          <w:color w:val="auto"/>
          <w:sz w:val="18"/>
          <w:szCs w:val="18"/>
          <w:highlight w:val="none"/>
        </w:rPr>
      </w:pPr>
      <w:r>
        <w:rPr>
          <w:rFonts w:hint="eastAsia" w:ascii="宋体" w:hAnsi="宋体"/>
          <w:color w:val="auto"/>
          <w:sz w:val="18"/>
          <w:szCs w:val="18"/>
          <w:highlight w:val="none"/>
        </w:rPr>
        <w:t>制定机关：海</w:t>
      </w:r>
      <w:r>
        <w:rPr>
          <w:rFonts w:ascii="宋体" w:hAnsi="宋体"/>
          <w:color w:val="auto"/>
          <w:sz w:val="18"/>
          <w:szCs w:val="18"/>
          <w:highlight w:val="none"/>
        </w:rPr>
        <w:t>南</w:t>
      </w:r>
      <w:r>
        <w:rPr>
          <w:rFonts w:hint="eastAsia" w:ascii="宋体" w:hAnsi="宋体"/>
          <w:color w:val="auto"/>
          <w:sz w:val="18"/>
          <w:szCs w:val="18"/>
          <w:highlight w:val="none"/>
        </w:rPr>
        <w:t>省</w:t>
      </w:r>
      <w:r>
        <w:rPr>
          <w:rFonts w:ascii="宋体" w:hAnsi="宋体"/>
          <w:color w:val="auto"/>
          <w:sz w:val="18"/>
          <w:szCs w:val="18"/>
          <w:highlight w:val="none"/>
        </w:rPr>
        <w:t>工业和信息化厅</w:t>
      </w:r>
    </w:p>
    <w:p>
      <w:pPr>
        <w:spacing w:line="240" w:lineRule="exact"/>
        <w:ind w:left="418" w:leftChars="199" w:firstLine="10080" w:firstLineChars="5600"/>
        <w:rPr>
          <w:rFonts w:ascii="宋体" w:hAnsi="宋体" w:cs="宋体"/>
          <w:color w:val="auto"/>
          <w:sz w:val="18"/>
          <w:szCs w:val="18"/>
          <w:highlight w:val="none"/>
        </w:rPr>
      </w:pPr>
      <w:r>
        <w:rPr>
          <w:rFonts w:hint="eastAsia" w:ascii="宋体" w:hAnsi="宋体"/>
          <w:color w:val="auto"/>
          <w:sz w:val="18"/>
          <w:szCs w:val="18"/>
          <w:highlight w:val="none"/>
        </w:rPr>
        <w:t>批准机关：海南</w:t>
      </w:r>
      <w:r>
        <w:rPr>
          <w:rFonts w:ascii="宋体" w:hAnsi="宋体"/>
          <w:color w:val="auto"/>
          <w:sz w:val="18"/>
          <w:szCs w:val="18"/>
          <w:highlight w:val="none"/>
        </w:rPr>
        <w:t>省</w:t>
      </w:r>
      <w:r>
        <w:rPr>
          <w:rFonts w:hint="eastAsia" w:ascii="宋体" w:hAnsi="宋体"/>
          <w:color w:val="auto"/>
          <w:sz w:val="18"/>
          <w:szCs w:val="18"/>
          <w:highlight w:val="none"/>
        </w:rPr>
        <w:t>统计局</w:t>
      </w:r>
    </w:p>
    <w:p>
      <w:pPr>
        <w:spacing w:line="240" w:lineRule="exact"/>
        <w:ind w:left="418" w:leftChars="199" w:firstLine="10080" w:firstLineChars="5600"/>
        <w:jc w:val="left"/>
        <w:rPr>
          <w:rFonts w:hint="eastAsia" w:ascii="宋体" w:hAnsi="宋体"/>
          <w:color w:val="auto"/>
          <w:sz w:val="18"/>
          <w:szCs w:val="18"/>
          <w:highlight w:val="none"/>
        </w:rPr>
      </w:pPr>
      <w:r>
        <w:rPr>
          <w:rFonts w:hint="eastAsia" w:ascii="宋体" w:hAnsi="宋体"/>
          <w:color w:val="auto"/>
          <w:sz w:val="18"/>
          <w:szCs w:val="18"/>
          <w:highlight w:val="none"/>
          <w:lang w:eastAsia="zh-CN"/>
        </w:rPr>
        <w:t>批准</w:t>
      </w:r>
      <w:r>
        <w:rPr>
          <w:rFonts w:hint="eastAsia" w:ascii="宋体" w:hAnsi="宋体"/>
          <w:color w:val="auto"/>
          <w:sz w:val="18"/>
          <w:szCs w:val="18"/>
          <w:highlight w:val="none"/>
        </w:rPr>
        <w:t>文号：</w:t>
      </w:r>
      <w:r>
        <w:rPr>
          <w:rFonts w:hint="eastAsia" w:ascii="宋体" w:hAnsi="宋体" w:eastAsia="宋体"/>
          <w:color w:val="auto"/>
          <w:sz w:val="18"/>
          <w:szCs w:val="18"/>
          <w:highlight w:val="none"/>
        </w:rPr>
        <w:t>琼统函〔</w:t>
      </w:r>
      <w:r>
        <w:rPr>
          <w:rFonts w:hint="default" w:ascii="宋体" w:hAnsi="宋体"/>
          <w:color w:val="auto"/>
          <w:sz w:val="18"/>
          <w:szCs w:val="18"/>
          <w:highlight w:val="none"/>
          <w:lang w:val="en-US"/>
        </w:rPr>
        <w:t>2026</w:t>
      </w:r>
      <w:r>
        <w:rPr>
          <w:rFonts w:hint="eastAsia" w:ascii="宋体" w:hAnsi="宋体" w:eastAsia="宋体"/>
          <w:color w:val="auto"/>
          <w:sz w:val="18"/>
          <w:szCs w:val="18"/>
          <w:highlight w:val="none"/>
        </w:rPr>
        <w:t>〕</w:t>
      </w:r>
      <w:r>
        <w:rPr>
          <w:rFonts w:hint="default" w:ascii="宋体" w:hAnsi="宋体"/>
          <w:color w:val="auto"/>
          <w:sz w:val="18"/>
          <w:szCs w:val="18"/>
          <w:highlight w:val="none"/>
          <w:lang w:val="en-US"/>
        </w:rPr>
        <w:t>3</w:t>
      </w:r>
      <w:r>
        <w:rPr>
          <w:rFonts w:hint="eastAsia" w:ascii="宋体" w:hAnsi="宋体" w:eastAsia="宋体"/>
          <w:color w:val="auto"/>
          <w:sz w:val="18"/>
          <w:szCs w:val="18"/>
          <w:highlight w:val="none"/>
        </w:rPr>
        <w:t>号</w:t>
      </w:r>
    </w:p>
    <w:p>
      <w:pPr>
        <w:spacing w:line="240" w:lineRule="exact"/>
        <w:ind w:left="418" w:leftChars="199" w:firstLine="10080" w:firstLineChars="5600"/>
        <w:jc w:val="both"/>
        <w:rPr>
          <w:rFonts w:hint="eastAsia" w:ascii="宋体" w:hAnsi="宋体" w:cs="宋体"/>
          <w:color w:val="auto"/>
          <w:sz w:val="18"/>
          <w:szCs w:val="18"/>
          <w:highlight w:val="none"/>
        </w:rPr>
      </w:pPr>
      <w:r>
        <w:rPr>
          <w:rFonts w:hint="eastAsia" w:ascii="宋体" w:hAnsi="宋体"/>
          <w:color w:val="auto"/>
          <w:sz w:val="18"/>
          <w:szCs w:val="18"/>
          <w:highlight w:val="none"/>
        </w:rPr>
        <w:t>有效期至</w:t>
      </w:r>
      <w:r>
        <w:rPr>
          <w:rFonts w:hint="default" w:ascii="宋体" w:hAnsi="宋体"/>
          <w:color w:val="auto"/>
          <w:sz w:val="18"/>
          <w:szCs w:val="18"/>
          <w:highlight w:val="none"/>
        </w:rPr>
        <w:t>：202</w:t>
      </w:r>
      <w:r>
        <w:rPr>
          <w:rFonts w:hint="eastAsia" w:ascii="宋体" w:hAnsi="宋体"/>
          <w:color w:val="auto"/>
          <w:sz w:val="18"/>
          <w:szCs w:val="18"/>
          <w:highlight w:val="none"/>
          <w:lang w:val="en-US" w:eastAsia="zh-CN"/>
        </w:rPr>
        <w:t>9</w:t>
      </w:r>
      <w:r>
        <w:rPr>
          <w:rFonts w:hint="eastAsia" w:ascii="宋体" w:hAnsi="宋体" w:cs="宋体"/>
          <w:color w:val="auto"/>
          <w:sz w:val="18"/>
          <w:szCs w:val="18"/>
          <w:highlight w:val="none"/>
        </w:rPr>
        <w:t>年</w:t>
      </w:r>
      <w:r>
        <w:rPr>
          <w:rFonts w:hint="eastAsia" w:ascii="宋体" w:hAnsi="宋体" w:cs="宋体"/>
          <w:color w:val="auto"/>
          <w:sz w:val="18"/>
          <w:szCs w:val="18"/>
          <w:highlight w:val="none"/>
          <w:lang w:val="en-US" w:eastAsia="zh-CN"/>
        </w:rPr>
        <w:t xml:space="preserve"> 1 </w:t>
      </w:r>
      <w:r>
        <w:rPr>
          <w:color w:val="auto"/>
          <w:sz w:val="18"/>
          <w:szCs w:val="18"/>
          <w:highlight w:val="none"/>
        </w:rPr>
        <w:t>月</w:t>
      </w:r>
    </w:p>
    <w:p>
      <w:pPr>
        <w:spacing w:line="240" w:lineRule="exact"/>
        <w:jc w:val="left"/>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综合机关名称：</w:t>
      </w:r>
    </w:p>
    <w:p>
      <w:pPr>
        <w:spacing w:line="240" w:lineRule="exact"/>
        <w:jc w:val="center"/>
        <w:rPr>
          <w:rFonts w:ascii="宋体" w:hAnsi="宋体" w:cs="宋体"/>
          <w:color w:val="auto"/>
          <w:sz w:val="18"/>
          <w:szCs w:val="18"/>
          <w:highlight w:val="none"/>
        </w:rPr>
      </w:pPr>
      <w:r>
        <w:rPr>
          <w:rFonts w:hint="default" w:ascii="Times New Roman" w:hAnsi="Times New Roman" w:cs="Times New Roman"/>
          <w:color w:val="auto"/>
          <w:sz w:val="18"/>
          <w:szCs w:val="18"/>
          <w:highlight w:val="none"/>
          <w:lang w:val="en-US" w:eastAsia="zh-CN"/>
        </w:rPr>
        <w:t>202</w:t>
      </w:r>
      <w:r>
        <w:rPr>
          <w:rFonts w:hint="default" w:ascii="Times New Roman" w:hAnsi="Times New Roman" w:cs="Times New Roman"/>
          <w:color w:val="auto"/>
          <w:sz w:val="18"/>
          <w:szCs w:val="18"/>
          <w:highlight w:val="none"/>
        </w:rPr>
        <w:t xml:space="preserve">   年</w:t>
      </w:r>
      <w:r>
        <w:rPr>
          <w:rFonts w:hint="default" w:ascii="Times New Roman" w:hAnsi="Times New Roman" w:cs="Times New Roman"/>
          <w:color w:val="auto"/>
          <w:sz w:val="18"/>
          <w:szCs w:val="18"/>
          <w:highlight w:val="none"/>
          <w:lang w:val="en-US" w:eastAsia="zh-CN"/>
        </w:rPr>
        <w:t>1-   月</w:t>
      </w:r>
    </w:p>
    <w:p>
      <w:pPr>
        <w:snapToGrid w:val="0"/>
        <w:spacing w:line="40" w:lineRule="exact"/>
        <w:rPr>
          <w:vanish/>
          <w:color w:val="auto"/>
          <w:highlight w:val="none"/>
        </w:rPr>
      </w:pPr>
    </w:p>
    <w:tbl>
      <w:tblPr>
        <w:tblStyle w:val="16"/>
        <w:tblW w:w="49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96"/>
        <w:gridCol w:w="582"/>
        <w:gridCol w:w="928"/>
        <w:gridCol w:w="928"/>
        <w:gridCol w:w="928"/>
        <w:gridCol w:w="928"/>
        <w:gridCol w:w="928"/>
        <w:gridCol w:w="928"/>
        <w:gridCol w:w="928"/>
        <w:gridCol w:w="928"/>
        <w:gridCol w:w="928"/>
        <w:gridCol w:w="928"/>
        <w:gridCol w:w="928"/>
        <w:gridCol w:w="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vMerge w:val="restart"/>
            <w:tcBorders>
              <w:top w:val="single" w:color="000000" w:sz="4" w:space="0"/>
              <w:left w:val="nil"/>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204" w:type="pct"/>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lang w:eastAsia="zh-CN"/>
              </w:rPr>
            </w:pPr>
            <w:r>
              <w:rPr>
                <w:rFonts w:hint="eastAsia" w:ascii="宋体" w:hAnsi="宋体" w:cs="宋体"/>
                <w:b/>
                <w:bCs/>
                <w:i w:val="0"/>
                <w:iCs w:val="0"/>
                <w:color w:val="auto"/>
                <w:sz w:val="22"/>
                <w:szCs w:val="22"/>
                <w:highlight w:val="none"/>
                <w:u w:val="none"/>
                <w:lang w:eastAsia="zh-CN"/>
              </w:rPr>
              <w:t>企业数量</w:t>
            </w:r>
          </w:p>
        </w:tc>
        <w:tc>
          <w:tcPr>
            <w:tcW w:w="97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营业收入</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c>
          <w:tcPr>
            <w:tcW w:w="97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利润总额</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c>
          <w:tcPr>
            <w:tcW w:w="97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应交增值税</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c>
          <w:tcPr>
            <w:tcW w:w="979" w:type="pct"/>
            <w:gridSpan w:val="3"/>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从业人员平均人数（人）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877"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2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上年同期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上年同期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上年同期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上年同期</w:t>
            </w: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合计</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一、 数字经济核心产业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01数字产品制造业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02数字产品服务业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03数字技术应用业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04数字要素驱动业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二、石油化工新材料</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三、现代生物医药</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四、深海</w:t>
            </w:r>
            <w:r>
              <w:rPr>
                <w:rFonts w:hint="eastAsia" w:ascii="宋体" w:hAnsi="宋体" w:cs="宋体"/>
                <w:b/>
                <w:bCs/>
                <w:i w:val="0"/>
                <w:iCs w:val="0"/>
                <w:color w:val="auto"/>
                <w:kern w:val="0"/>
                <w:sz w:val="20"/>
                <w:szCs w:val="20"/>
                <w:highlight w:val="none"/>
                <w:u w:val="none"/>
                <w:lang w:val="en-US" w:eastAsia="zh-CN" w:bidi="ar"/>
              </w:rPr>
              <w:t>装备</w:t>
            </w:r>
            <w:r>
              <w:rPr>
                <w:rFonts w:hint="eastAsia" w:ascii="宋体" w:hAnsi="宋体" w:eastAsia="宋体" w:cs="宋体"/>
                <w:b/>
                <w:bCs/>
                <w:i w:val="0"/>
                <w:iCs w:val="0"/>
                <w:color w:val="auto"/>
                <w:kern w:val="0"/>
                <w:sz w:val="20"/>
                <w:szCs w:val="20"/>
                <w:highlight w:val="none"/>
                <w:u w:val="none"/>
                <w:lang w:val="en-US" w:eastAsia="zh-CN" w:bidi="ar"/>
              </w:rPr>
              <w:t>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2"/>
                <w:sz w:val="20"/>
                <w:szCs w:val="20"/>
                <w:highlight w:val="none"/>
                <w:u w:val="none"/>
                <w:lang w:val="en-US" w:eastAsia="zh-CN" w:bidi="ar-SA"/>
              </w:rPr>
            </w:pPr>
            <w:r>
              <w:rPr>
                <w:rFonts w:hint="eastAsia" w:ascii="宋体" w:hAnsi="宋体" w:eastAsia="宋体" w:cs="宋体"/>
                <w:b/>
                <w:bCs/>
                <w:i w:val="0"/>
                <w:iCs w:val="0"/>
                <w:color w:val="auto"/>
                <w:kern w:val="0"/>
                <w:sz w:val="20"/>
                <w:szCs w:val="20"/>
                <w:highlight w:val="none"/>
                <w:u w:val="none"/>
                <w:lang w:val="en-US" w:eastAsia="zh-CN" w:bidi="ar"/>
              </w:rPr>
              <w:t xml:space="preserve"> 五、</w:t>
            </w:r>
            <w:r>
              <w:rPr>
                <w:rFonts w:hint="eastAsia" w:ascii="宋体" w:hAnsi="宋体" w:cs="宋体"/>
                <w:b/>
                <w:bCs/>
                <w:i w:val="0"/>
                <w:iCs w:val="0"/>
                <w:color w:val="auto"/>
                <w:kern w:val="0"/>
                <w:sz w:val="20"/>
                <w:szCs w:val="20"/>
                <w:highlight w:val="none"/>
                <w:u w:val="none"/>
                <w:lang w:val="en-US" w:eastAsia="zh-CN" w:bidi="ar"/>
              </w:rPr>
              <w:t>高新育种及服务产</w:t>
            </w:r>
            <w:r>
              <w:rPr>
                <w:rFonts w:hint="eastAsia" w:ascii="宋体" w:hAnsi="宋体" w:eastAsia="宋体" w:cs="宋体"/>
                <w:b/>
                <w:bCs/>
                <w:i w:val="0"/>
                <w:iCs w:val="0"/>
                <w:color w:val="auto"/>
                <w:kern w:val="0"/>
                <w:sz w:val="20"/>
                <w:szCs w:val="20"/>
                <w:highlight w:val="none"/>
                <w:u w:val="none"/>
                <w:lang w:val="en-US" w:eastAsia="zh-CN" w:bidi="ar"/>
              </w:rPr>
              <w:t>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cs="宋体"/>
                <w:b/>
                <w:bCs/>
                <w:i w:val="0"/>
                <w:iCs w:val="0"/>
                <w:color w:val="auto"/>
                <w:kern w:val="0"/>
                <w:sz w:val="20"/>
                <w:szCs w:val="20"/>
                <w:highlight w:val="none"/>
                <w:u w:val="none"/>
                <w:lang w:val="en-US" w:eastAsia="zh-CN" w:bidi="ar"/>
              </w:rPr>
              <w:t>六</w:t>
            </w:r>
            <w:r>
              <w:rPr>
                <w:rFonts w:hint="eastAsia" w:ascii="宋体" w:hAnsi="宋体" w:eastAsia="宋体" w:cs="宋体"/>
                <w:b/>
                <w:bCs/>
                <w:i w:val="0"/>
                <w:iCs w:val="0"/>
                <w:color w:val="auto"/>
                <w:kern w:val="0"/>
                <w:sz w:val="20"/>
                <w:szCs w:val="20"/>
                <w:highlight w:val="none"/>
                <w:u w:val="none"/>
                <w:lang w:val="en-US" w:eastAsia="zh-CN" w:bidi="ar"/>
              </w:rPr>
              <w:t>、航</w:t>
            </w:r>
            <w:r>
              <w:rPr>
                <w:rFonts w:hint="eastAsia" w:ascii="宋体" w:hAnsi="宋体" w:cs="宋体"/>
                <w:b/>
                <w:bCs/>
                <w:i w:val="0"/>
                <w:iCs w:val="0"/>
                <w:color w:val="auto"/>
                <w:kern w:val="0"/>
                <w:sz w:val="20"/>
                <w:szCs w:val="20"/>
                <w:highlight w:val="none"/>
                <w:u w:val="none"/>
                <w:lang w:val="en-US" w:eastAsia="zh-CN" w:bidi="ar"/>
              </w:rPr>
              <w:t>空航天高新</w:t>
            </w:r>
            <w:r>
              <w:rPr>
                <w:rFonts w:hint="eastAsia" w:ascii="宋体" w:hAnsi="宋体" w:eastAsia="宋体" w:cs="宋体"/>
                <w:b/>
                <w:bCs/>
                <w:i w:val="0"/>
                <w:iCs w:val="0"/>
                <w:color w:val="auto"/>
                <w:kern w:val="0"/>
                <w:sz w:val="20"/>
                <w:szCs w:val="20"/>
                <w:highlight w:val="none"/>
                <w:u w:val="none"/>
                <w:lang w:val="en-US" w:eastAsia="zh-CN" w:bidi="ar"/>
              </w:rPr>
              <w:t>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cs="宋体"/>
                <w:b/>
                <w:bCs/>
                <w:i w:val="0"/>
                <w:iCs w:val="0"/>
                <w:color w:val="auto"/>
                <w:kern w:val="0"/>
                <w:sz w:val="20"/>
                <w:szCs w:val="20"/>
                <w:highlight w:val="none"/>
                <w:u w:val="none"/>
                <w:lang w:val="en-US" w:eastAsia="zh-CN" w:bidi="ar"/>
              </w:rPr>
              <w:t>七</w:t>
            </w:r>
            <w:r>
              <w:rPr>
                <w:rFonts w:hint="eastAsia" w:ascii="宋体" w:hAnsi="宋体" w:eastAsia="宋体" w:cs="宋体"/>
                <w:b/>
                <w:bCs/>
                <w:i w:val="0"/>
                <w:iCs w:val="0"/>
                <w:color w:val="auto"/>
                <w:kern w:val="0"/>
                <w:sz w:val="20"/>
                <w:szCs w:val="20"/>
                <w:highlight w:val="none"/>
                <w:u w:val="none"/>
                <w:lang w:val="en-US" w:eastAsia="zh-CN" w:bidi="ar"/>
              </w:rPr>
              <w:t>、清洁能源产业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cs="宋体"/>
                <w:b/>
                <w:bCs/>
                <w:i w:val="0"/>
                <w:iCs w:val="0"/>
                <w:color w:val="auto"/>
                <w:kern w:val="0"/>
                <w:sz w:val="20"/>
                <w:szCs w:val="20"/>
                <w:highlight w:val="none"/>
                <w:u w:val="none"/>
                <w:lang w:val="en-US" w:eastAsia="zh-CN" w:bidi="ar"/>
              </w:rPr>
              <w:t>八</w:t>
            </w:r>
            <w:r>
              <w:rPr>
                <w:rFonts w:hint="eastAsia" w:ascii="宋体" w:hAnsi="宋体" w:eastAsia="宋体" w:cs="宋体"/>
                <w:b/>
                <w:bCs/>
                <w:i w:val="0"/>
                <w:iCs w:val="0"/>
                <w:color w:val="auto"/>
                <w:kern w:val="0"/>
                <w:sz w:val="20"/>
                <w:szCs w:val="20"/>
                <w:highlight w:val="none"/>
                <w:u w:val="none"/>
                <w:lang w:val="en-US" w:eastAsia="zh-CN" w:bidi="ar"/>
              </w:rPr>
              <w:t>、节能环保产业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cs="宋体"/>
                <w:b/>
                <w:bCs/>
                <w:i w:val="0"/>
                <w:iCs w:val="0"/>
                <w:color w:val="auto"/>
                <w:kern w:val="0"/>
                <w:sz w:val="20"/>
                <w:szCs w:val="20"/>
                <w:highlight w:val="none"/>
                <w:u w:val="none"/>
                <w:lang w:val="en-US" w:eastAsia="zh-CN" w:bidi="ar"/>
              </w:rPr>
              <w:t>九、</w:t>
            </w:r>
            <w:r>
              <w:rPr>
                <w:rFonts w:hint="eastAsia" w:ascii="宋体" w:hAnsi="宋体" w:eastAsia="宋体" w:cs="宋体"/>
                <w:b/>
                <w:bCs/>
                <w:i w:val="0"/>
                <w:iCs w:val="0"/>
                <w:color w:val="auto"/>
                <w:kern w:val="0"/>
                <w:sz w:val="20"/>
                <w:szCs w:val="20"/>
                <w:highlight w:val="none"/>
                <w:u w:val="none"/>
                <w:lang w:val="en-US" w:eastAsia="zh-CN" w:bidi="ar"/>
              </w:rPr>
              <w:t>高端食品加工产业</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87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cs="宋体"/>
                <w:b/>
                <w:bCs/>
                <w:i w:val="0"/>
                <w:iCs w:val="0"/>
                <w:color w:val="auto"/>
                <w:kern w:val="0"/>
                <w:sz w:val="20"/>
                <w:szCs w:val="20"/>
                <w:highlight w:val="none"/>
                <w:u w:val="none"/>
                <w:lang w:val="en-US" w:eastAsia="zh-CN" w:bidi="ar"/>
              </w:rPr>
              <w:t>十</w:t>
            </w:r>
            <w:r>
              <w:rPr>
                <w:rFonts w:hint="eastAsia" w:ascii="宋体" w:hAnsi="宋体" w:eastAsia="宋体" w:cs="宋体"/>
                <w:b/>
                <w:bCs/>
                <w:i w:val="0"/>
                <w:iCs w:val="0"/>
                <w:color w:val="auto"/>
                <w:kern w:val="0"/>
                <w:sz w:val="20"/>
                <w:szCs w:val="20"/>
                <w:highlight w:val="none"/>
                <w:u w:val="none"/>
                <w:lang w:val="en-US" w:eastAsia="zh-CN" w:bidi="ar"/>
              </w:rPr>
              <w:t>、其他</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bl>
    <w:p>
      <w:pPr>
        <w:adjustRightInd w:val="0"/>
        <w:spacing w:line="240" w:lineRule="exact"/>
        <w:rPr>
          <w:rFonts w:ascii="宋体"/>
          <w:color w:val="auto"/>
          <w:sz w:val="18"/>
          <w:szCs w:val="18"/>
          <w:highlight w:val="none"/>
        </w:rPr>
      </w:pPr>
      <w:r>
        <w:rPr>
          <w:rFonts w:hint="eastAsia" w:ascii="宋体" w:cs="宋体"/>
          <w:color w:val="auto"/>
          <w:sz w:val="18"/>
          <w:szCs w:val="18"/>
          <w:highlight w:val="none"/>
        </w:rPr>
        <w:t>单位负责人：</w:t>
      </w:r>
      <w:r>
        <w:rPr>
          <w:rFonts w:ascii="宋体" w:cs="宋体"/>
          <w:color w:val="auto"/>
          <w:sz w:val="18"/>
          <w:szCs w:val="18"/>
          <w:highlight w:val="none"/>
        </w:rPr>
        <w:t xml:space="preserve">        </w:t>
      </w:r>
      <w:r>
        <w:rPr>
          <w:rFonts w:hint="eastAsia" w:ascii="宋体" w:cs="宋体"/>
          <w:color w:val="auto"/>
          <w:sz w:val="18"/>
          <w:szCs w:val="18"/>
          <w:highlight w:val="none"/>
        </w:rPr>
        <w:t>统计负责人：</w:t>
      </w:r>
      <w:r>
        <w:rPr>
          <w:rFonts w:ascii="宋体" w:cs="宋体"/>
          <w:color w:val="auto"/>
          <w:sz w:val="18"/>
          <w:szCs w:val="18"/>
          <w:highlight w:val="none"/>
        </w:rPr>
        <w:t xml:space="preserve">        </w:t>
      </w:r>
      <w:r>
        <w:rPr>
          <w:rFonts w:hint="eastAsia" w:ascii="宋体" w:cs="宋体"/>
          <w:color w:val="auto"/>
          <w:sz w:val="18"/>
          <w:szCs w:val="18"/>
          <w:highlight w:val="none"/>
        </w:rPr>
        <w:t>填表人：</w:t>
      </w:r>
      <w:r>
        <w:rPr>
          <w:rFonts w:ascii="宋体" w:cs="宋体"/>
          <w:color w:val="auto"/>
          <w:sz w:val="18"/>
          <w:szCs w:val="18"/>
          <w:highlight w:val="none"/>
        </w:rPr>
        <w:t xml:space="preserve">        </w:t>
      </w:r>
      <w:r>
        <w:rPr>
          <w:rFonts w:hint="eastAsia" w:ascii="宋体" w:cs="宋体"/>
          <w:color w:val="auto"/>
          <w:sz w:val="18"/>
          <w:szCs w:val="18"/>
          <w:highlight w:val="none"/>
        </w:rPr>
        <w:t>联系电话：</w:t>
      </w:r>
      <w:r>
        <w:rPr>
          <w:rFonts w:ascii="宋体" w:cs="宋体"/>
          <w:color w:val="auto"/>
          <w:sz w:val="18"/>
          <w:szCs w:val="18"/>
          <w:highlight w:val="none"/>
        </w:rPr>
        <w:t xml:space="preserve">        </w:t>
      </w:r>
      <w:r>
        <w:rPr>
          <w:rFonts w:hint="eastAsia" w:ascii="宋体" w:cs="宋体"/>
          <w:color w:val="auto"/>
          <w:sz w:val="18"/>
          <w:szCs w:val="18"/>
          <w:highlight w:val="none"/>
        </w:rPr>
        <w:t>日期：</w:t>
      </w:r>
      <w:r>
        <w:rPr>
          <w:rFonts w:hint="eastAsia" w:ascii="宋体" w:cs="宋体"/>
          <w:color w:val="auto"/>
          <w:sz w:val="18"/>
          <w:szCs w:val="18"/>
          <w:highlight w:val="none"/>
          <w:lang w:eastAsia="zh-CN"/>
        </w:rPr>
        <w:t>20</w:t>
      </w:r>
      <w:r>
        <w:rPr>
          <w:rFonts w:ascii="宋体" w:cs="宋体"/>
          <w:color w:val="auto"/>
          <w:sz w:val="18"/>
          <w:szCs w:val="18"/>
          <w:highlight w:val="none"/>
        </w:rPr>
        <w:t xml:space="preserve">2   </w:t>
      </w:r>
      <w:r>
        <w:rPr>
          <w:rFonts w:hint="eastAsia" w:ascii="宋体" w:cs="宋体"/>
          <w:color w:val="auto"/>
          <w:sz w:val="18"/>
          <w:szCs w:val="18"/>
          <w:highlight w:val="none"/>
        </w:rPr>
        <w:t>年</w:t>
      </w:r>
      <w:r>
        <w:rPr>
          <w:rFonts w:ascii="宋体" w:cs="宋体"/>
          <w:color w:val="auto"/>
          <w:sz w:val="18"/>
          <w:szCs w:val="18"/>
          <w:highlight w:val="none"/>
        </w:rPr>
        <w:t xml:space="preserve">  </w:t>
      </w:r>
      <w:r>
        <w:rPr>
          <w:rFonts w:hint="eastAsia" w:ascii="宋体" w:cs="宋体"/>
          <w:color w:val="auto"/>
          <w:sz w:val="18"/>
          <w:szCs w:val="18"/>
          <w:highlight w:val="none"/>
        </w:rPr>
        <w:t>　月</w:t>
      </w:r>
      <w:r>
        <w:rPr>
          <w:rFonts w:ascii="宋体" w:cs="宋体"/>
          <w:color w:val="auto"/>
          <w:sz w:val="18"/>
          <w:szCs w:val="18"/>
          <w:highlight w:val="none"/>
        </w:rPr>
        <w:t xml:space="preserve"> </w:t>
      </w:r>
      <w:r>
        <w:rPr>
          <w:rFonts w:hint="eastAsia" w:ascii="宋体" w:cs="宋体"/>
          <w:color w:val="auto"/>
          <w:sz w:val="18"/>
          <w:szCs w:val="18"/>
          <w:highlight w:val="none"/>
        </w:rPr>
        <w:t>　</w:t>
      </w:r>
      <w:r>
        <w:rPr>
          <w:rFonts w:ascii="宋体" w:cs="宋体"/>
          <w:color w:val="auto"/>
          <w:sz w:val="18"/>
          <w:szCs w:val="18"/>
          <w:highlight w:val="none"/>
        </w:rPr>
        <w:t xml:space="preserve"> </w:t>
      </w:r>
      <w:r>
        <w:rPr>
          <w:rFonts w:hint="eastAsia" w:ascii="宋体" w:cs="宋体"/>
          <w:color w:val="auto"/>
          <w:sz w:val="18"/>
          <w:szCs w:val="18"/>
          <w:highlight w:val="none"/>
        </w:rPr>
        <w:t>日</w:t>
      </w:r>
    </w:p>
    <w:p>
      <w:pPr>
        <w:widowControl/>
        <w:tabs>
          <w:tab w:val="left" w:pos="544"/>
        </w:tabs>
        <w:spacing w:line="240" w:lineRule="atLeast"/>
        <w:ind w:left="0" w:hanging="2163" w:hangingChars="1202"/>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ascii="宋体" w:hAnsi="宋体" w:cs="宋体"/>
          <w:color w:val="auto"/>
          <w:kern w:val="0"/>
          <w:sz w:val="18"/>
          <w:szCs w:val="18"/>
          <w:highlight w:val="none"/>
        </w:rPr>
        <w:t>1.</w:t>
      </w:r>
      <w:r>
        <w:rPr>
          <w:rFonts w:hint="eastAsia" w:ascii="宋体" w:hAnsi="宋体" w:cs="宋体"/>
          <w:color w:val="auto"/>
          <w:kern w:val="0"/>
          <w:sz w:val="18"/>
          <w:szCs w:val="18"/>
          <w:highlight w:val="none"/>
        </w:rPr>
        <w:t>统计范围：</w:t>
      </w:r>
      <w:r>
        <w:rPr>
          <w:rFonts w:hint="eastAsia" w:ascii="宋体" w:hAnsi="宋体"/>
          <w:color w:val="auto"/>
          <w:sz w:val="18"/>
          <w:szCs w:val="18"/>
          <w:highlight w:val="none"/>
        </w:rPr>
        <w:t>辖区内符合《海南省高新技术产业统计分类目录（</w:t>
      </w:r>
      <w:r>
        <w:rPr>
          <w:rFonts w:hint="eastAsia" w:ascii="宋体" w:hAnsi="宋体"/>
          <w:color w:val="auto"/>
          <w:sz w:val="18"/>
          <w:szCs w:val="18"/>
          <w:highlight w:val="none"/>
          <w:lang w:val="en-US" w:eastAsia="zh-CN"/>
        </w:rPr>
        <w:t>2026</w:t>
      </w:r>
      <w:r>
        <w:rPr>
          <w:rFonts w:hint="eastAsia" w:ascii="宋体" w:hAnsi="宋体"/>
          <w:color w:val="auto"/>
          <w:sz w:val="18"/>
          <w:szCs w:val="18"/>
          <w:highlight w:val="none"/>
        </w:rPr>
        <w:t>年）》的“四上”调查单位</w:t>
      </w:r>
      <w:r>
        <w:rPr>
          <w:rFonts w:hint="eastAsia" w:ascii="宋体" w:hAnsi="宋体" w:cs="宋体"/>
          <w:color w:val="auto"/>
          <w:kern w:val="0"/>
          <w:sz w:val="18"/>
          <w:szCs w:val="18"/>
          <w:highlight w:val="none"/>
        </w:rPr>
        <w:t>。</w:t>
      </w:r>
    </w:p>
    <w:p>
      <w:pPr>
        <w:widowControl/>
        <w:tabs>
          <w:tab w:val="left" w:pos="544"/>
        </w:tabs>
        <w:snapToGrid w:val="0"/>
        <w:spacing w:line="240" w:lineRule="atLeast"/>
        <w:ind w:left="0" w:leftChars="0" w:firstLine="540" w:firstLineChars="300"/>
        <w:jc w:val="left"/>
        <w:rPr>
          <w:rFonts w:ascii="宋体" w:hAnsi="宋体" w:eastAsia="宋体" w:cs="宋体"/>
          <w:color w:val="auto"/>
          <w:kern w:val="0"/>
          <w:sz w:val="18"/>
          <w:szCs w:val="18"/>
          <w:highlight w:val="none"/>
        </w:rPr>
      </w:pP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填报</w:t>
      </w:r>
      <w:r>
        <w:rPr>
          <w:rFonts w:ascii="宋体" w:hAnsi="宋体" w:cs="宋体"/>
          <w:color w:val="auto"/>
          <w:kern w:val="0"/>
          <w:sz w:val="18"/>
          <w:szCs w:val="18"/>
          <w:highlight w:val="none"/>
        </w:rPr>
        <w:t>单位</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本表“高新育种及服务产业”数据</w:t>
      </w:r>
      <w:r>
        <w:rPr>
          <w:rFonts w:hint="eastAsia" w:ascii="宋体" w:hAnsi="宋体" w:cs="宋体"/>
          <w:color w:val="auto"/>
          <w:kern w:val="0"/>
          <w:sz w:val="18"/>
          <w:szCs w:val="18"/>
          <w:highlight w:val="none"/>
          <w:lang w:val="en-US" w:eastAsia="zh-CN"/>
        </w:rPr>
        <w:t>取自省统计局和</w:t>
      </w:r>
      <w:r>
        <w:rPr>
          <w:rFonts w:hint="eastAsia" w:ascii="宋体" w:hAnsi="宋体" w:cs="宋体"/>
          <w:color w:val="auto"/>
          <w:kern w:val="0"/>
          <w:sz w:val="18"/>
          <w:szCs w:val="18"/>
          <w:highlight w:val="none"/>
          <w:lang w:eastAsia="zh-CN"/>
        </w:rPr>
        <w:t>三亚崖州湾科技城报送</w:t>
      </w:r>
      <w:r>
        <w:rPr>
          <w:rFonts w:hint="eastAsia" w:ascii="宋体" w:hAnsi="宋体" w:cs="宋体"/>
          <w:color w:val="auto"/>
          <w:kern w:val="0"/>
          <w:sz w:val="18"/>
          <w:szCs w:val="18"/>
          <w:highlight w:val="none"/>
          <w:lang w:val="en-US" w:eastAsia="zh-CN"/>
        </w:rPr>
        <w:t>的</w:t>
      </w:r>
      <w:r>
        <w:rPr>
          <w:rFonts w:hint="eastAsia" w:ascii="宋体" w:hAnsi="宋体" w:eastAsia="宋体" w:cs="宋体"/>
          <w:color w:val="auto"/>
          <w:kern w:val="0"/>
          <w:sz w:val="18"/>
          <w:szCs w:val="18"/>
          <w:highlight w:val="none"/>
        </w:rPr>
        <w:t>GC10</w:t>
      </w:r>
      <w:r>
        <w:rPr>
          <w:rFonts w:hint="eastAsia" w:ascii="宋体" w:hAnsi="宋体" w:eastAsia="宋体" w:cs="宋体"/>
          <w:color w:val="auto"/>
          <w:kern w:val="0"/>
          <w:sz w:val="18"/>
          <w:szCs w:val="18"/>
          <w:highlight w:val="none"/>
          <w:lang w:val="en-US" w:eastAsia="zh-CN"/>
        </w:rPr>
        <w:t>4</w:t>
      </w:r>
      <w:r>
        <w:rPr>
          <w:rFonts w:hint="eastAsia" w:ascii="宋体" w:hAnsi="宋体" w:eastAsia="宋体" w:cs="宋体"/>
          <w:color w:val="auto"/>
          <w:kern w:val="0"/>
          <w:sz w:val="18"/>
          <w:szCs w:val="18"/>
          <w:highlight w:val="none"/>
        </w:rPr>
        <w:t>表</w:t>
      </w:r>
      <w:r>
        <w:rPr>
          <w:rFonts w:hint="eastAsia" w:ascii="宋体" w:hAnsi="宋体" w:cs="宋体"/>
          <w:color w:val="auto"/>
          <w:kern w:val="0"/>
          <w:sz w:val="18"/>
          <w:szCs w:val="18"/>
          <w:highlight w:val="none"/>
          <w:lang w:eastAsia="zh-CN"/>
        </w:rPr>
        <w:t>；其他产业由省统计局报送</w:t>
      </w:r>
      <w:r>
        <w:rPr>
          <w:rFonts w:hint="default" w:ascii="宋体" w:hAnsi="宋体" w:eastAsia="宋体" w:cs="宋体"/>
          <w:color w:val="auto"/>
          <w:kern w:val="0"/>
          <w:sz w:val="18"/>
          <w:szCs w:val="18"/>
          <w:highlight w:val="none"/>
        </w:rPr>
        <w:t>；</w:t>
      </w:r>
    </w:p>
    <w:p>
      <w:pPr>
        <w:widowControl/>
        <w:spacing w:line="240" w:lineRule="atLeast"/>
        <w:ind w:left="542" w:leftChars="258"/>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3</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填报时间：</w:t>
      </w:r>
      <w:r>
        <w:rPr>
          <w:rFonts w:hint="eastAsia" w:ascii="宋体" w:hAnsi="宋体" w:cs="宋体"/>
          <w:color w:val="auto"/>
          <w:kern w:val="0"/>
          <w:sz w:val="18"/>
          <w:szCs w:val="18"/>
          <w:highlight w:val="none"/>
        </w:rPr>
        <w:t>季后23日（即4月、7月、10月和次年1月）前报送至省工信厅</w:t>
      </w:r>
      <w:r>
        <w:rPr>
          <w:rFonts w:hint="eastAsia" w:ascii="宋体" w:hAnsi="宋体" w:cs="宋体"/>
          <w:color w:val="auto"/>
          <w:kern w:val="0"/>
          <w:sz w:val="18"/>
          <w:szCs w:val="18"/>
          <w:highlight w:val="none"/>
          <w:lang w:eastAsia="zh-CN"/>
        </w:rPr>
        <w:t>。</w:t>
      </w:r>
    </w:p>
    <w:p>
      <w:pPr>
        <w:widowControl/>
        <w:spacing w:line="240" w:lineRule="atLeast"/>
        <w:ind w:left="542" w:leftChars="258"/>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4.</w:t>
      </w:r>
      <w:r>
        <w:rPr>
          <w:rFonts w:hint="eastAsia" w:ascii="宋体" w:hAnsi="宋体" w:cs="宋体"/>
          <w:color w:val="auto"/>
          <w:kern w:val="0"/>
          <w:sz w:val="18"/>
          <w:szCs w:val="18"/>
          <w:highlight w:val="none"/>
        </w:rPr>
        <w:t>审核关系</w:t>
      </w:r>
      <w:r>
        <w:rPr>
          <w:rFonts w:hint="eastAsia" w:ascii="宋体" w:hAnsi="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1）</w:t>
      </w:r>
      <w:r>
        <w:rPr>
          <w:rFonts w:hint="eastAsia" w:ascii="宋体" w:hAnsi="宋体" w:eastAsia="宋体" w:cs="宋体"/>
          <w:color w:val="auto"/>
          <w:kern w:val="0"/>
          <w:sz w:val="18"/>
          <w:szCs w:val="18"/>
          <w:highlight w:val="none"/>
        </w:rPr>
        <w:t>高新技术产业各产业数据等于该产业下所有高新技术产业行业小类数据之和</w:t>
      </w:r>
      <w:r>
        <w:rPr>
          <w:rFonts w:hint="eastAsia" w:ascii="宋体" w:hAnsi="宋体" w:eastAsia="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lang w:eastAsia="zh-CN"/>
        </w:rPr>
        <w:t>）如部分行业分属不同产业</w:t>
      </w:r>
      <w:r>
        <w:rPr>
          <w:rFonts w:hint="eastAsia" w:ascii="宋体" w:hAnsi="宋体" w:eastAsia="宋体" w:cs="宋体"/>
          <w:color w:val="auto"/>
          <w:kern w:val="0"/>
          <w:sz w:val="18"/>
          <w:szCs w:val="18"/>
          <w:highlight w:val="none"/>
          <w:lang w:val="en-US" w:eastAsia="zh-CN"/>
        </w:rPr>
        <w:t>时</w:t>
      </w:r>
      <w:r>
        <w:rPr>
          <w:rFonts w:hint="eastAsia" w:ascii="宋体" w:hAnsi="宋体" w:eastAsia="宋体" w:cs="宋体"/>
          <w:color w:val="auto"/>
          <w:kern w:val="0"/>
          <w:sz w:val="18"/>
          <w:szCs w:val="18"/>
          <w:highlight w:val="none"/>
          <w:lang w:eastAsia="zh-CN"/>
        </w:rPr>
        <w:t>，合计时会剔重计算；</w:t>
      </w:r>
    </w:p>
    <w:p>
      <w:pPr>
        <w:widowControl/>
        <w:spacing w:line="240" w:lineRule="atLeast"/>
        <w:ind w:left="542" w:leftChars="258" w:firstLine="0" w:firstLineChars="0"/>
        <w:jc w:val="left"/>
        <w:rPr>
          <w:rFonts w:hint="default" w:ascii="宋体" w:cs="宋体"/>
          <w:color w:val="auto"/>
          <w:kern w:val="0"/>
          <w:sz w:val="18"/>
          <w:szCs w:val="18"/>
          <w:highlight w:val="none"/>
          <w:lang w:val="en-US" w:eastAsia="zh-CN"/>
        </w:rPr>
      </w:pPr>
      <w:r>
        <w:rPr>
          <w:rFonts w:hint="eastAsia" w:ascii="宋体" w:cs="宋体"/>
          <w:color w:val="auto"/>
          <w:kern w:val="0"/>
          <w:sz w:val="18"/>
          <w:szCs w:val="18"/>
          <w:highlight w:val="none"/>
          <w:lang w:val="en-US" w:eastAsia="zh-CN"/>
        </w:rPr>
        <w:t>5.其他：本表价值量和增长速度均为现行价格计算。</w:t>
      </w:r>
    </w:p>
    <w:p>
      <w:pPr>
        <w:widowControl/>
        <w:ind w:left="0" w:leftChars="0" w:firstLine="975" w:firstLineChars="650"/>
        <w:jc w:val="left"/>
        <w:rPr>
          <w:rFonts w:hint="default" w:ascii="宋体" w:hAnsi="宋体" w:cs="宋体"/>
          <w:color w:val="auto"/>
          <w:kern w:val="0"/>
          <w:sz w:val="15"/>
          <w:szCs w:val="15"/>
          <w:highlight w:val="none"/>
        </w:rPr>
      </w:pPr>
    </w:p>
    <w:p>
      <w:pPr>
        <w:snapToGrid w:val="0"/>
        <w:spacing w:before="480" w:beforeLines="200" w:after="240" w:afterLines="100" w:line="240" w:lineRule="auto"/>
        <w:jc w:val="center"/>
        <w:outlineLvl w:val="1"/>
        <w:rPr>
          <w:color w:val="auto"/>
          <w:highlight w:val="none"/>
        </w:rPr>
        <w:sectPr>
          <w:pgSz w:w="16783" w:h="11850" w:orient="landscape"/>
          <w:pgMar w:top="1247" w:right="1247" w:bottom="1247" w:left="1247" w:header="851" w:footer="850" w:gutter="0"/>
          <w:pgBorders>
            <w:top w:val="none" w:sz="0" w:space="0"/>
            <w:left w:val="none" w:sz="0" w:space="0"/>
            <w:bottom w:val="none" w:sz="0" w:space="0"/>
            <w:right w:val="none" w:sz="0" w:space="0"/>
          </w:pgBorders>
          <w:pgNumType w:fmt="decimal"/>
          <w:cols w:space="720" w:num="1"/>
          <w:docGrid w:linePitch="312" w:charSpace="0"/>
        </w:sectPr>
      </w:pPr>
    </w:p>
    <w:p>
      <w:pPr>
        <w:snapToGrid w:val="0"/>
        <w:spacing w:before="480" w:beforeLines="200" w:after="240" w:afterLines="100" w:line="240" w:lineRule="auto"/>
        <w:jc w:val="both"/>
        <w:outlineLvl w:val="1"/>
        <w:rPr>
          <w:rFonts w:hint="eastAsia" w:ascii="宋体" w:hAnsi="宋体"/>
          <w:color w:val="auto"/>
          <w:sz w:val="18"/>
          <w:szCs w:val="18"/>
          <w:highlight w:val="none"/>
        </w:rPr>
      </w:pPr>
      <w:bookmarkStart w:id="65" w:name="_Toc14912"/>
      <w:bookmarkStart w:id="66" w:name="_Toc12302"/>
      <w:bookmarkStart w:id="67" w:name="_Toc3254"/>
      <w:bookmarkStart w:id="68" w:name="_Toc689169196"/>
      <w:bookmarkStart w:id="69" w:name="_Toc16436"/>
      <w:bookmarkStart w:id="70" w:name="_Toc13614"/>
      <w:bookmarkStart w:id="71" w:name="_Toc23478"/>
      <w:bookmarkStart w:id="72" w:name="_Toc1301"/>
      <w:bookmarkStart w:id="73" w:name="_Toc22576"/>
      <w:r>
        <w:rPr>
          <w:rFonts w:hint="eastAsia" w:ascii="宋体" w:hAnsi="宋体" w:cs="宋体"/>
          <w:color w:val="auto"/>
          <w:sz w:val="32"/>
          <w:szCs w:val="32"/>
          <w:highlight w:val="none"/>
        </w:rPr>
        <w:t>高</w:t>
      </w:r>
      <w:r>
        <w:rPr>
          <w:rFonts w:ascii="宋体" w:hAnsi="宋体" w:cs="宋体"/>
          <w:color w:val="auto"/>
          <w:sz w:val="32"/>
          <w:szCs w:val="32"/>
          <w:highlight w:val="none"/>
        </w:rPr>
        <w:t>新技术</w:t>
      </w:r>
      <w:r>
        <w:rPr>
          <w:rFonts w:hint="eastAsia" w:ascii="宋体" w:hAnsi="宋体" w:cs="宋体"/>
          <w:color w:val="auto"/>
          <w:sz w:val="32"/>
          <w:szCs w:val="32"/>
          <w:highlight w:val="none"/>
        </w:rPr>
        <w:t>产业经营</w:t>
      </w:r>
      <w:r>
        <w:rPr>
          <w:rFonts w:ascii="宋体" w:hAnsi="宋体" w:cs="宋体"/>
          <w:color w:val="auto"/>
          <w:sz w:val="32"/>
          <w:szCs w:val="32"/>
          <w:highlight w:val="none"/>
        </w:rPr>
        <w:t>情况</w:t>
      </w:r>
      <w:r>
        <w:rPr>
          <w:rFonts w:hint="eastAsia" w:ascii="宋体" w:hAnsi="宋体" w:cs="宋体"/>
          <w:color w:val="auto"/>
          <w:sz w:val="32"/>
          <w:szCs w:val="32"/>
          <w:highlight w:val="none"/>
        </w:rPr>
        <w:t>综合</w:t>
      </w:r>
      <w:r>
        <w:rPr>
          <w:rFonts w:ascii="宋体" w:hAnsi="宋体" w:cs="宋体"/>
          <w:color w:val="auto"/>
          <w:sz w:val="32"/>
          <w:szCs w:val="32"/>
          <w:highlight w:val="none"/>
        </w:rPr>
        <w:t>表</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eastAsia="zh-CN"/>
        </w:rPr>
        <w:t>“四</w:t>
      </w:r>
      <w:r>
        <w:rPr>
          <w:rFonts w:hint="eastAsia" w:ascii="宋体" w:hAnsi="宋体" w:cs="宋体"/>
          <w:color w:val="auto"/>
          <w:sz w:val="32"/>
          <w:szCs w:val="32"/>
          <w:highlight w:val="none"/>
          <w:lang w:val="en-US" w:eastAsia="zh-CN"/>
        </w:rPr>
        <w:t>下</w:t>
      </w:r>
      <w:r>
        <w:rPr>
          <w:rFonts w:hint="eastAsia" w:ascii="宋体" w:hAnsi="宋体" w:cs="宋体"/>
          <w:color w:val="auto"/>
          <w:sz w:val="32"/>
          <w:szCs w:val="32"/>
          <w:highlight w:val="none"/>
          <w:lang w:eastAsia="zh-CN"/>
        </w:rPr>
        <w:t>”调查单位</w:t>
      </w:r>
      <w:r>
        <w:rPr>
          <w:rFonts w:hint="eastAsia" w:ascii="宋体" w:hAnsi="宋体" w:eastAsia="宋体" w:cs="宋体"/>
          <w:color w:val="auto"/>
          <w:sz w:val="32"/>
          <w:szCs w:val="32"/>
          <w:highlight w:val="none"/>
        </w:rPr>
        <w:t>）</w:t>
      </w:r>
      <w:bookmarkEnd w:id="65"/>
      <w:bookmarkEnd w:id="66"/>
      <w:bookmarkEnd w:id="67"/>
      <w:r>
        <w:rPr>
          <w:rFonts w:hint="eastAsia" w:ascii="宋体" w:hAnsi="宋体" w:eastAsia="宋体" w:cs="宋体"/>
          <w:color w:val="auto"/>
          <w:sz w:val="32"/>
          <w:szCs w:val="32"/>
          <w:highlight w:val="none"/>
        </w:rPr>
        <w:t xml:space="preserve">      </w:t>
      </w:r>
    </w:p>
    <w:p>
      <w:pPr>
        <w:snapToGrid w:val="0"/>
        <w:spacing w:before="480" w:beforeLines="200" w:after="0" w:afterLines="0" w:line="240" w:lineRule="auto"/>
        <w:ind w:left="0" w:leftChars="0" w:firstLine="6300" w:firstLineChars="3500"/>
        <w:jc w:val="both"/>
        <w:outlineLvl w:val="9"/>
        <w:rPr>
          <w:rFonts w:ascii="宋体" w:hAnsi="宋体" w:cs="宋体"/>
          <w:color w:val="auto"/>
          <w:sz w:val="18"/>
          <w:szCs w:val="18"/>
          <w:highlight w:val="none"/>
        </w:rPr>
      </w:pPr>
      <w:bookmarkStart w:id="74" w:name="_Toc31137"/>
      <w:r>
        <w:rPr>
          <w:rFonts w:hint="eastAsia" w:ascii="宋体" w:hAnsi="宋体"/>
          <w:color w:val="auto"/>
          <w:sz w:val="18"/>
          <w:szCs w:val="18"/>
          <w:highlight w:val="none"/>
        </w:rPr>
        <w:t>表    号：GC10</w:t>
      </w: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表</w:t>
      </w:r>
      <w:bookmarkEnd w:id="74"/>
      <w:r>
        <w:rPr>
          <w:rFonts w:hint="eastAsia" w:ascii="宋体" w:hAnsi="宋体"/>
          <w:color w:val="auto"/>
          <w:sz w:val="18"/>
          <w:szCs w:val="18"/>
          <w:highlight w:val="none"/>
        </w:rPr>
        <w:t xml:space="preserve"> </w:t>
      </w:r>
    </w:p>
    <w:p>
      <w:pPr>
        <w:spacing w:line="240" w:lineRule="exact"/>
        <w:ind w:left="0" w:leftChars="0" w:firstLine="6300" w:firstLineChars="3500"/>
        <w:rPr>
          <w:rFonts w:ascii="宋体" w:hAnsi="宋体" w:cs="宋体"/>
          <w:color w:val="auto"/>
          <w:sz w:val="18"/>
          <w:szCs w:val="18"/>
          <w:highlight w:val="none"/>
        </w:rPr>
      </w:pPr>
      <w:r>
        <w:rPr>
          <w:rFonts w:hint="eastAsia" w:ascii="宋体" w:hAnsi="宋体"/>
          <w:color w:val="auto"/>
          <w:sz w:val="18"/>
          <w:szCs w:val="18"/>
          <w:highlight w:val="none"/>
        </w:rPr>
        <w:t>制定机关：海</w:t>
      </w:r>
      <w:r>
        <w:rPr>
          <w:rFonts w:ascii="宋体" w:hAnsi="宋体"/>
          <w:color w:val="auto"/>
          <w:sz w:val="18"/>
          <w:szCs w:val="18"/>
          <w:highlight w:val="none"/>
        </w:rPr>
        <w:t>南</w:t>
      </w:r>
      <w:r>
        <w:rPr>
          <w:rFonts w:hint="eastAsia" w:ascii="宋体" w:hAnsi="宋体"/>
          <w:color w:val="auto"/>
          <w:sz w:val="18"/>
          <w:szCs w:val="18"/>
          <w:highlight w:val="none"/>
        </w:rPr>
        <w:t>省</w:t>
      </w:r>
      <w:r>
        <w:rPr>
          <w:rFonts w:ascii="宋体" w:hAnsi="宋体"/>
          <w:color w:val="auto"/>
          <w:sz w:val="18"/>
          <w:szCs w:val="18"/>
          <w:highlight w:val="none"/>
        </w:rPr>
        <w:t>工业和信息化厅</w:t>
      </w:r>
    </w:p>
    <w:p>
      <w:pPr>
        <w:spacing w:line="240" w:lineRule="exact"/>
        <w:ind w:left="0" w:leftChars="0" w:firstLine="6300" w:firstLineChars="3500"/>
        <w:rPr>
          <w:rFonts w:ascii="宋体" w:hAnsi="宋体" w:cs="宋体"/>
          <w:color w:val="auto"/>
          <w:sz w:val="18"/>
          <w:szCs w:val="18"/>
          <w:highlight w:val="none"/>
        </w:rPr>
      </w:pPr>
      <w:r>
        <w:rPr>
          <w:rFonts w:hint="eastAsia" w:ascii="宋体" w:hAnsi="宋体"/>
          <w:color w:val="auto"/>
          <w:sz w:val="18"/>
          <w:szCs w:val="18"/>
          <w:highlight w:val="none"/>
        </w:rPr>
        <w:t>批准机关：海南</w:t>
      </w:r>
      <w:r>
        <w:rPr>
          <w:rFonts w:ascii="宋体" w:hAnsi="宋体"/>
          <w:color w:val="auto"/>
          <w:sz w:val="18"/>
          <w:szCs w:val="18"/>
          <w:highlight w:val="none"/>
        </w:rPr>
        <w:t>省</w:t>
      </w:r>
      <w:r>
        <w:rPr>
          <w:rFonts w:hint="eastAsia" w:ascii="宋体" w:hAnsi="宋体"/>
          <w:color w:val="auto"/>
          <w:sz w:val="18"/>
          <w:szCs w:val="18"/>
          <w:highlight w:val="none"/>
        </w:rPr>
        <w:t>统计局</w:t>
      </w:r>
    </w:p>
    <w:p>
      <w:pPr>
        <w:spacing w:line="240" w:lineRule="exact"/>
        <w:ind w:left="0" w:leftChars="0" w:firstLine="6300" w:firstLineChars="3500"/>
        <w:jc w:val="left"/>
        <w:rPr>
          <w:rFonts w:hint="eastAsia" w:ascii="宋体" w:hAnsi="宋体"/>
          <w:color w:val="auto"/>
          <w:sz w:val="18"/>
          <w:szCs w:val="18"/>
          <w:highlight w:val="none"/>
        </w:rPr>
      </w:pPr>
      <w:r>
        <w:rPr>
          <w:rFonts w:hint="eastAsia" w:ascii="宋体" w:hAnsi="宋体"/>
          <w:color w:val="auto"/>
          <w:sz w:val="18"/>
          <w:szCs w:val="18"/>
          <w:highlight w:val="none"/>
          <w:lang w:eastAsia="zh-CN"/>
        </w:rPr>
        <w:t>批准</w:t>
      </w:r>
      <w:r>
        <w:rPr>
          <w:rFonts w:hint="eastAsia" w:ascii="宋体" w:hAnsi="宋体"/>
          <w:color w:val="auto"/>
          <w:sz w:val="18"/>
          <w:szCs w:val="18"/>
          <w:highlight w:val="none"/>
        </w:rPr>
        <w:t>文号：</w:t>
      </w:r>
      <w:r>
        <w:rPr>
          <w:rFonts w:hint="eastAsia" w:ascii="宋体" w:hAnsi="宋体" w:eastAsia="宋体"/>
          <w:color w:val="auto"/>
          <w:sz w:val="18"/>
          <w:szCs w:val="18"/>
          <w:highlight w:val="none"/>
        </w:rPr>
        <w:t>琼统函〔</w:t>
      </w:r>
      <w:r>
        <w:rPr>
          <w:rFonts w:hint="default" w:ascii="宋体" w:hAnsi="宋体"/>
          <w:color w:val="auto"/>
          <w:sz w:val="18"/>
          <w:szCs w:val="18"/>
          <w:highlight w:val="none"/>
          <w:lang w:val="en-US"/>
        </w:rPr>
        <w:t>2026</w:t>
      </w:r>
      <w:r>
        <w:rPr>
          <w:rFonts w:hint="eastAsia" w:ascii="宋体" w:hAnsi="宋体" w:eastAsia="宋体"/>
          <w:color w:val="auto"/>
          <w:sz w:val="18"/>
          <w:szCs w:val="18"/>
          <w:highlight w:val="none"/>
        </w:rPr>
        <w:t>〕</w:t>
      </w:r>
      <w:r>
        <w:rPr>
          <w:rFonts w:hint="default" w:ascii="宋体" w:hAnsi="宋体"/>
          <w:color w:val="auto"/>
          <w:sz w:val="18"/>
          <w:szCs w:val="18"/>
          <w:highlight w:val="none"/>
          <w:lang w:val="en-US"/>
        </w:rPr>
        <w:t>3</w:t>
      </w:r>
      <w:r>
        <w:rPr>
          <w:rFonts w:hint="eastAsia" w:ascii="宋体" w:hAnsi="宋体" w:eastAsia="宋体"/>
          <w:color w:val="auto"/>
          <w:sz w:val="18"/>
          <w:szCs w:val="18"/>
          <w:highlight w:val="none"/>
        </w:rPr>
        <w:t>号</w:t>
      </w:r>
      <w:r>
        <w:rPr>
          <w:rFonts w:hint="eastAsia" w:ascii="宋体" w:hAnsi="宋体"/>
          <w:color w:val="auto"/>
          <w:sz w:val="18"/>
          <w:szCs w:val="18"/>
          <w:highlight w:val="none"/>
        </w:rPr>
        <w:t xml:space="preserve">  </w:t>
      </w:r>
    </w:p>
    <w:p>
      <w:pPr>
        <w:spacing w:line="240" w:lineRule="exact"/>
        <w:ind w:left="0" w:leftChars="0" w:firstLine="6300" w:firstLineChars="3500"/>
        <w:jc w:val="left"/>
        <w:rPr>
          <w:color w:val="auto"/>
          <w:sz w:val="18"/>
          <w:szCs w:val="18"/>
          <w:highlight w:val="none"/>
        </w:rPr>
      </w:pPr>
      <w:r>
        <w:rPr>
          <w:rFonts w:hint="eastAsia" w:ascii="宋体" w:hAnsi="宋体"/>
          <w:color w:val="auto"/>
          <w:sz w:val="18"/>
          <w:szCs w:val="18"/>
          <w:highlight w:val="none"/>
          <w:lang w:eastAsia="zh-CN"/>
        </w:rPr>
        <w:t>有效期</w:t>
      </w:r>
      <w:r>
        <w:rPr>
          <w:rFonts w:hint="eastAsia" w:ascii="宋体" w:hAnsi="宋体"/>
          <w:color w:val="auto"/>
          <w:sz w:val="18"/>
          <w:szCs w:val="18"/>
          <w:highlight w:val="none"/>
        </w:rPr>
        <w:t>至</w:t>
      </w:r>
      <w:r>
        <w:rPr>
          <w:rFonts w:hint="default" w:ascii="宋体" w:hAnsi="宋体"/>
          <w:color w:val="auto"/>
          <w:sz w:val="18"/>
          <w:szCs w:val="18"/>
          <w:highlight w:val="none"/>
        </w:rPr>
        <w:t>：202</w:t>
      </w:r>
      <w:r>
        <w:rPr>
          <w:rFonts w:hint="eastAsia" w:ascii="宋体" w:hAnsi="宋体"/>
          <w:color w:val="auto"/>
          <w:sz w:val="18"/>
          <w:szCs w:val="18"/>
          <w:highlight w:val="none"/>
          <w:lang w:val="en-US" w:eastAsia="zh-CN"/>
        </w:rPr>
        <w:t>9</w:t>
      </w:r>
      <w:r>
        <w:rPr>
          <w:rFonts w:hint="eastAsia" w:ascii="宋体" w:hAnsi="宋体" w:cs="宋体"/>
          <w:color w:val="auto"/>
          <w:sz w:val="18"/>
          <w:szCs w:val="18"/>
          <w:highlight w:val="none"/>
        </w:rPr>
        <w:t>年</w:t>
      </w:r>
      <w:r>
        <w:rPr>
          <w:rFonts w:hint="eastAsia" w:ascii="宋体" w:hAnsi="宋体" w:cs="宋体"/>
          <w:color w:val="auto"/>
          <w:sz w:val="18"/>
          <w:szCs w:val="18"/>
          <w:highlight w:val="none"/>
          <w:lang w:val="en-US" w:eastAsia="zh-CN"/>
        </w:rPr>
        <w:t xml:space="preserve"> 1 </w:t>
      </w:r>
      <w:r>
        <w:rPr>
          <w:color w:val="auto"/>
          <w:sz w:val="18"/>
          <w:szCs w:val="18"/>
          <w:highlight w:val="none"/>
        </w:rPr>
        <w:t>月</w:t>
      </w:r>
    </w:p>
    <w:p>
      <w:pPr>
        <w:spacing w:line="240" w:lineRule="exact"/>
        <w:ind w:left="0" w:leftChars="0" w:firstLine="6300" w:firstLineChars="35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w:t>
      </w:r>
    </w:p>
    <w:p>
      <w:pPr>
        <w:spacing w:line="240" w:lineRule="exact"/>
        <w:jc w:val="left"/>
        <w:rPr>
          <w:rFonts w:hint="eastAsia"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综合机关名称：</w:t>
      </w:r>
    </w:p>
    <w:p>
      <w:pPr>
        <w:spacing w:line="240" w:lineRule="exact"/>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 xml:space="preserve">202  </w:t>
      </w:r>
      <w:r>
        <w:rPr>
          <w:rFonts w:hint="default" w:ascii="Times New Roman" w:hAnsi="Times New Roman" w:eastAsia="宋体" w:cs="Times New Roman"/>
          <w:color w:val="auto"/>
          <w:sz w:val="18"/>
          <w:szCs w:val="18"/>
          <w:highlight w:val="none"/>
          <w:lang w:val="en-US" w:eastAsia="zh-CN"/>
        </w:rPr>
        <w:t xml:space="preserve"> </w:t>
      </w:r>
      <w:r>
        <w:rPr>
          <w:rFonts w:hint="eastAsia" w:ascii="Times New Roman" w:hAnsi="Times New Roman" w:eastAsia="宋体" w:cs="Times New Roman"/>
          <w:color w:val="auto"/>
          <w:sz w:val="18"/>
          <w:szCs w:val="18"/>
          <w:highlight w:val="none"/>
          <w:lang w:val="en-US" w:eastAsia="zh-CN"/>
        </w:rPr>
        <w:t>年1-   月</w:t>
      </w:r>
    </w:p>
    <w:p>
      <w:pPr>
        <w:snapToGrid w:val="0"/>
        <w:spacing w:line="40" w:lineRule="exact"/>
        <w:rPr>
          <w:vanish/>
          <w:color w:val="auto"/>
          <w:highlight w:val="none"/>
        </w:rPr>
      </w:pP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48"/>
        <w:gridCol w:w="1053"/>
        <w:gridCol w:w="1771"/>
        <w:gridCol w:w="1884"/>
        <w:gridCol w:w="16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行业分类</w:t>
            </w:r>
          </w:p>
        </w:tc>
        <w:tc>
          <w:tcPr>
            <w:tcW w:w="55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企业</w:t>
            </w:r>
          </w:p>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个数</w:t>
            </w:r>
          </w:p>
        </w:tc>
        <w:tc>
          <w:tcPr>
            <w:tcW w:w="2752" w:type="pct"/>
            <w:gridSpan w:val="3"/>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营业收入</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5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上年同期</w:t>
            </w: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合计</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一、 数字经济核心产业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01数字产品制造业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02数字产品服务业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03数字技术应用业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04数字要素驱动业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二、石油化工新材料</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三、现代生物医药</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四、深海</w:t>
            </w:r>
            <w:r>
              <w:rPr>
                <w:rFonts w:hint="eastAsia" w:ascii="宋体" w:hAnsi="宋体" w:cs="宋体"/>
                <w:b/>
                <w:bCs/>
                <w:i w:val="0"/>
                <w:iCs w:val="0"/>
                <w:color w:val="auto"/>
                <w:kern w:val="0"/>
                <w:sz w:val="20"/>
                <w:szCs w:val="20"/>
                <w:highlight w:val="none"/>
                <w:u w:val="none"/>
                <w:lang w:val="en-US" w:eastAsia="zh-CN" w:bidi="ar"/>
              </w:rPr>
              <w:t>装备</w:t>
            </w:r>
            <w:r>
              <w:rPr>
                <w:rFonts w:hint="eastAsia" w:ascii="宋体" w:hAnsi="宋体" w:eastAsia="宋体" w:cs="宋体"/>
                <w:b/>
                <w:bCs/>
                <w:i w:val="0"/>
                <w:iCs w:val="0"/>
                <w:color w:val="auto"/>
                <w:kern w:val="0"/>
                <w:sz w:val="20"/>
                <w:szCs w:val="20"/>
                <w:highlight w:val="none"/>
                <w:u w:val="none"/>
                <w:lang w:val="en-US" w:eastAsia="zh-CN" w:bidi="ar"/>
              </w:rPr>
              <w:t>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 xml:space="preserve"> 五、</w:t>
            </w:r>
            <w:r>
              <w:rPr>
                <w:rFonts w:hint="eastAsia" w:ascii="宋体" w:cs="宋体"/>
                <w:b/>
                <w:bCs/>
                <w:color w:val="auto"/>
                <w:highlight w:val="none"/>
                <w:lang w:eastAsia="zh-CN"/>
              </w:rPr>
              <w:t>高新</w:t>
            </w:r>
            <w:r>
              <w:rPr>
                <w:rFonts w:hint="eastAsia" w:ascii="宋体" w:hAnsi="宋体" w:cs="宋体"/>
                <w:b/>
                <w:bCs/>
                <w:i w:val="0"/>
                <w:iCs w:val="0"/>
                <w:color w:val="auto"/>
                <w:kern w:val="0"/>
                <w:sz w:val="20"/>
                <w:szCs w:val="20"/>
                <w:highlight w:val="none"/>
                <w:u w:val="none"/>
                <w:lang w:val="en-US" w:eastAsia="zh-CN" w:bidi="ar"/>
              </w:rPr>
              <w:t>育种及服务产</w:t>
            </w:r>
            <w:r>
              <w:rPr>
                <w:rFonts w:hint="eastAsia" w:ascii="宋体" w:hAnsi="宋体" w:eastAsia="宋体" w:cs="宋体"/>
                <w:b/>
                <w:bCs/>
                <w:i w:val="0"/>
                <w:iCs w:val="0"/>
                <w:color w:val="auto"/>
                <w:kern w:val="0"/>
                <w:sz w:val="20"/>
                <w:szCs w:val="20"/>
                <w:highlight w:val="none"/>
                <w:u w:val="none"/>
                <w:lang w:val="en-US" w:eastAsia="zh-CN" w:bidi="ar"/>
              </w:rPr>
              <w:t>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六、航</w:t>
            </w:r>
            <w:r>
              <w:rPr>
                <w:rFonts w:hint="eastAsia" w:ascii="宋体" w:hAnsi="宋体" w:cs="宋体"/>
                <w:b/>
                <w:bCs/>
                <w:i w:val="0"/>
                <w:iCs w:val="0"/>
                <w:color w:val="auto"/>
                <w:kern w:val="0"/>
                <w:sz w:val="20"/>
                <w:szCs w:val="20"/>
                <w:highlight w:val="none"/>
                <w:u w:val="none"/>
                <w:lang w:val="en-US" w:eastAsia="zh-CN" w:bidi="ar"/>
              </w:rPr>
              <w:t>空航天高新</w:t>
            </w:r>
            <w:r>
              <w:rPr>
                <w:rFonts w:hint="eastAsia" w:ascii="宋体" w:hAnsi="宋体" w:eastAsia="宋体" w:cs="宋体"/>
                <w:b/>
                <w:bCs/>
                <w:i w:val="0"/>
                <w:iCs w:val="0"/>
                <w:color w:val="auto"/>
                <w:kern w:val="0"/>
                <w:sz w:val="20"/>
                <w:szCs w:val="20"/>
                <w:highlight w:val="none"/>
                <w:u w:val="none"/>
                <w:lang w:val="en-US" w:eastAsia="zh-CN" w:bidi="ar"/>
              </w:rPr>
              <w:t>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七、清洁能源产业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八、节能环保产业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九</w:t>
            </w:r>
            <w:r>
              <w:rPr>
                <w:rFonts w:hint="eastAsia" w:ascii="宋体" w:hAnsi="宋体" w:cs="宋体"/>
                <w:b/>
                <w:bCs/>
                <w:i w:val="0"/>
                <w:iCs w:val="0"/>
                <w:color w:val="auto"/>
                <w:kern w:val="0"/>
                <w:sz w:val="20"/>
                <w:szCs w:val="20"/>
                <w:highlight w:val="none"/>
                <w:u w:val="none"/>
                <w:lang w:val="en-US" w:eastAsia="zh-CN" w:bidi="ar"/>
              </w:rPr>
              <w:t>、</w:t>
            </w:r>
            <w:r>
              <w:rPr>
                <w:rFonts w:hint="eastAsia" w:ascii="宋体" w:hAnsi="宋体" w:eastAsia="宋体" w:cs="宋体"/>
                <w:b/>
                <w:bCs/>
                <w:i w:val="0"/>
                <w:iCs w:val="0"/>
                <w:color w:val="auto"/>
                <w:kern w:val="0"/>
                <w:sz w:val="20"/>
                <w:szCs w:val="20"/>
                <w:highlight w:val="none"/>
                <w:u w:val="none"/>
                <w:lang w:val="en-US" w:eastAsia="zh-CN" w:bidi="ar"/>
              </w:rPr>
              <w:t>高端食品加工产业</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6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十、其他</w:t>
            </w:r>
          </w:p>
        </w:tc>
        <w:tc>
          <w:tcPr>
            <w:tcW w:w="5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41"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bl>
    <w:p>
      <w:pPr>
        <w:adjustRightInd w:val="0"/>
        <w:spacing w:line="240" w:lineRule="exact"/>
        <w:rPr>
          <w:rFonts w:ascii="宋体"/>
          <w:color w:val="auto"/>
          <w:sz w:val="18"/>
          <w:szCs w:val="18"/>
          <w:highlight w:val="none"/>
        </w:rPr>
      </w:pPr>
      <w:r>
        <w:rPr>
          <w:rFonts w:hint="eastAsia" w:ascii="宋体" w:cs="宋体"/>
          <w:color w:val="auto"/>
          <w:sz w:val="18"/>
          <w:szCs w:val="18"/>
          <w:highlight w:val="none"/>
        </w:rPr>
        <w:t>单位负责人：</w:t>
      </w:r>
      <w:r>
        <w:rPr>
          <w:rFonts w:ascii="宋体" w:cs="宋体"/>
          <w:color w:val="auto"/>
          <w:sz w:val="18"/>
          <w:szCs w:val="18"/>
          <w:highlight w:val="none"/>
        </w:rPr>
        <w:t xml:space="preserve">        </w:t>
      </w:r>
      <w:r>
        <w:rPr>
          <w:rFonts w:hint="eastAsia" w:ascii="宋体" w:cs="宋体"/>
          <w:color w:val="auto"/>
          <w:sz w:val="18"/>
          <w:szCs w:val="18"/>
          <w:highlight w:val="none"/>
        </w:rPr>
        <w:t>统计负责人：</w:t>
      </w:r>
      <w:r>
        <w:rPr>
          <w:rFonts w:ascii="宋体" w:cs="宋体"/>
          <w:color w:val="auto"/>
          <w:sz w:val="18"/>
          <w:szCs w:val="18"/>
          <w:highlight w:val="none"/>
        </w:rPr>
        <w:t xml:space="preserve">        </w:t>
      </w:r>
      <w:r>
        <w:rPr>
          <w:rFonts w:hint="eastAsia" w:ascii="宋体" w:cs="宋体"/>
          <w:color w:val="auto"/>
          <w:sz w:val="18"/>
          <w:szCs w:val="18"/>
          <w:highlight w:val="none"/>
        </w:rPr>
        <w:t>填表人：</w:t>
      </w:r>
      <w:r>
        <w:rPr>
          <w:rFonts w:ascii="宋体" w:cs="宋体"/>
          <w:color w:val="auto"/>
          <w:sz w:val="18"/>
          <w:szCs w:val="18"/>
          <w:highlight w:val="none"/>
        </w:rPr>
        <w:t xml:space="preserve">        </w:t>
      </w:r>
      <w:r>
        <w:rPr>
          <w:rFonts w:hint="eastAsia" w:ascii="宋体" w:cs="宋体"/>
          <w:color w:val="auto"/>
          <w:sz w:val="18"/>
          <w:szCs w:val="18"/>
          <w:highlight w:val="none"/>
        </w:rPr>
        <w:t>联系电话：</w:t>
      </w:r>
      <w:r>
        <w:rPr>
          <w:rFonts w:ascii="宋体" w:cs="宋体"/>
          <w:color w:val="auto"/>
          <w:sz w:val="18"/>
          <w:szCs w:val="18"/>
          <w:highlight w:val="none"/>
        </w:rPr>
        <w:t xml:space="preserve">        </w:t>
      </w:r>
      <w:r>
        <w:rPr>
          <w:rFonts w:hint="eastAsia" w:ascii="宋体" w:cs="宋体"/>
          <w:color w:val="auto"/>
          <w:sz w:val="18"/>
          <w:szCs w:val="18"/>
          <w:highlight w:val="none"/>
        </w:rPr>
        <w:t>日期：</w:t>
      </w:r>
      <w:r>
        <w:rPr>
          <w:rFonts w:hint="eastAsia" w:ascii="宋体" w:cs="宋体"/>
          <w:color w:val="auto"/>
          <w:sz w:val="18"/>
          <w:szCs w:val="18"/>
          <w:highlight w:val="none"/>
          <w:lang w:eastAsia="zh-CN"/>
        </w:rPr>
        <w:t>20</w:t>
      </w:r>
      <w:r>
        <w:rPr>
          <w:rFonts w:ascii="宋体" w:cs="宋体"/>
          <w:color w:val="auto"/>
          <w:sz w:val="18"/>
          <w:szCs w:val="18"/>
          <w:highlight w:val="none"/>
        </w:rPr>
        <w:t xml:space="preserve">2   </w:t>
      </w:r>
      <w:r>
        <w:rPr>
          <w:rFonts w:hint="eastAsia" w:ascii="宋体" w:cs="宋体"/>
          <w:color w:val="auto"/>
          <w:sz w:val="18"/>
          <w:szCs w:val="18"/>
          <w:highlight w:val="none"/>
        </w:rPr>
        <w:t>年</w:t>
      </w:r>
      <w:r>
        <w:rPr>
          <w:rFonts w:ascii="宋体" w:cs="宋体"/>
          <w:color w:val="auto"/>
          <w:sz w:val="18"/>
          <w:szCs w:val="18"/>
          <w:highlight w:val="none"/>
        </w:rPr>
        <w:t xml:space="preserve">  </w:t>
      </w:r>
      <w:r>
        <w:rPr>
          <w:rFonts w:hint="eastAsia" w:ascii="宋体" w:cs="宋体"/>
          <w:color w:val="auto"/>
          <w:sz w:val="18"/>
          <w:szCs w:val="18"/>
          <w:highlight w:val="none"/>
        </w:rPr>
        <w:t>　月</w:t>
      </w:r>
      <w:r>
        <w:rPr>
          <w:rFonts w:ascii="宋体" w:cs="宋体"/>
          <w:color w:val="auto"/>
          <w:sz w:val="18"/>
          <w:szCs w:val="18"/>
          <w:highlight w:val="none"/>
        </w:rPr>
        <w:t xml:space="preserve"> </w:t>
      </w:r>
      <w:r>
        <w:rPr>
          <w:rFonts w:hint="eastAsia" w:ascii="宋体" w:cs="宋体"/>
          <w:color w:val="auto"/>
          <w:sz w:val="18"/>
          <w:szCs w:val="18"/>
          <w:highlight w:val="none"/>
        </w:rPr>
        <w:t>　</w:t>
      </w:r>
      <w:r>
        <w:rPr>
          <w:rFonts w:ascii="宋体" w:cs="宋体"/>
          <w:color w:val="auto"/>
          <w:sz w:val="18"/>
          <w:szCs w:val="18"/>
          <w:highlight w:val="none"/>
        </w:rPr>
        <w:t xml:space="preserve"> </w:t>
      </w:r>
      <w:r>
        <w:rPr>
          <w:rFonts w:hint="eastAsia" w:ascii="宋体" w:cs="宋体"/>
          <w:color w:val="auto"/>
          <w:sz w:val="18"/>
          <w:szCs w:val="18"/>
          <w:highlight w:val="none"/>
        </w:rPr>
        <w:t>日</w:t>
      </w:r>
    </w:p>
    <w:p>
      <w:pPr>
        <w:widowControl/>
        <w:tabs>
          <w:tab w:val="left" w:pos="544"/>
        </w:tabs>
        <w:spacing w:line="360" w:lineRule="auto"/>
        <w:ind w:left="0" w:hanging="2163" w:hangingChars="1202"/>
        <w:jc w:val="left"/>
        <w:rPr>
          <w:rFonts w:hint="eastAsia" w:ascii="宋体" w:hAnsi="宋体" w:cs="宋体"/>
          <w:color w:val="auto"/>
          <w:kern w:val="0"/>
          <w:sz w:val="18"/>
          <w:szCs w:val="18"/>
          <w:highlight w:val="none"/>
        </w:rPr>
      </w:pPr>
    </w:p>
    <w:p>
      <w:pPr>
        <w:widowControl/>
        <w:tabs>
          <w:tab w:val="left" w:pos="544"/>
        </w:tabs>
        <w:spacing w:line="240" w:lineRule="atLeast"/>
        <w:ind w:left="0" w:hanging="2163" w:hangingChars="1202"/>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ascii="宋体" w:hAnsi="宋体" w:cs="宋体"/>
          <w:color w:val="auto"/>
          <w:kern w:val="0"/>
          <w:sz w:val="18"/>
          <w:szCs w:val="18"/>
          <w:highlight w:val="none"/>
        </w:rPr>
        <w:t>1.</w:t>
      </w:r>
      <w:r>
        <w:rPr>
          <w:rFonts w:hint="eastAsia" w:ascii="宋体" w:hAnsi="宋体" w:cs="宋体"/>
          <w:color w:val="auto"/>
          <w:kern w:val="0"/>
          <w:sz w:val="18"/>
          <w:szCs w:val="18"/>
          <w:highlight w:val="none"/>
        </w:rPr>
        <w:t>统计范围：</w:t>
      </w:r>
      <w:r>
        <w:rPr>
          <w:rFonts w:hint="eastAsia" w:ascii="宋体" w:hAnsi="宋体"/>
          <w:color w:val="auto"/>
          <w:sz w:val="18"/>
          <w:szCs w:val="18"/>
          <w:highlight w:val="none"/>
        </w:rPr>
        <w:t>辖区内符合《海南省高新技术产业统计分类目录（</w:t>
      </w:r>
      <w:r>
        <w:rPr>
          <w:rFonts w:hint="default" w:ascii="宋体" w:hAnsi="宋体"/>
          <w:color w:val="auto"/>
          <w:sz w:val="18"/>
          <w:szCs w:val="18"/>
          <w:highlight w:val="none"/>
          <w:lang w:val="en-US"/>
        </w:rPr>
        <w:t>2026</w:t>
      </w:r>
      <w:r>
        <w:rPr>
          <w:rFonts w:hint="eastAsia" w:ascii="宋体" w:hAnsi="宋体"/>
          <w:color w:val="auto"/>
          <w:sz w:val="18"/>
          <w:szCs w:val="18"/>
          <w:highlight w:val="none"/>
        </w:rPr>
        <w:t>年）》的“四</w:t>
      </w:r>
      <w:r>
        <w:rPr>
          <w:rFonts w:hint="eastAsia" w:ascii="宋体" w:hAnsi="宋体"/>
          <w:color w:val="auto"/>
          <w:sz w:val="18"/>
          <w:szCs w:val="18"/>
          <w:highlight w:val="none"/>
          <w:lang w:eastAsia="zh-CN"/>
        </w:rPr>
        <w:t>下</w:t>
      </w:r>
      <w:r>
        <w:rPr>
          <w:rFonts w:hint="eastAsia" w:ascii="宋体" w:hAnsi="宋体"/>
          <w:color w:val="auto"/>
          <w:sz w:val="18"/>
          <w:szCs w:val="18"/>
          <w:highlight w:val="none"/>
        </w:rPr>
        <w:t>”调查单位</w:t>
      </w:r>
      <w:r>
        <w:rPr>
          <w:rFonts w:hint="eastAsia" w:ascii="宋体" w:hAnsi="宋体" w:cs="宋体"/>
          <w:color w:val="auto"/>
          <w:kern w:val="0"/>
          <w:sz w:val="18"/>
          <w:szCs w:val="18"/>
          <w:highlight w:val="none"/>
        </w:rPr>
        <w:t>。</w:t>
      </w:r>
    </w:p>
    <w:p>
      <w:pPr>
        <w:widowControl/>
        <w:tabs>
          <w:tab w:val="left" w:pos="544"/>
        </w:tabs>
        <w:snapToGrid w:val="0"/>
        <w:spacing w:line="240" w:lineRule="atLeast"/>
        <w:ind w:left="0" w:leftChars="0" w:firstLine="540" w:firstLineChars="300"/>
        <w:jc w:val="left"/>
        <w:rPr>
          <w:rFonts w:ascii="宋体" w:hAnsi="宋体" w:eastAsia="宋体" w:cs="宋体"/>
          <w:color w:val="auto"/>
          <w:kern w:val="0"/>
          <w:sz w:val="18"/>
          <w:szCs w:val="18"/>
          <w:highlight w:val="none"/>
        </w:rPr>
      </w:pP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填报</w:t>
      </w:r>
      <w:r>
        <w:rPr>
          <w:rFonts w:ascii="宋体" w:hAnsi="宋体" w:cs="宋体"/>
          <w:color w:val="auto"/>
          <w:kern w:val="0"/>
          <w:sz w:val="18"/>
          <w:szCs w:val="18"/>
          <w:highlight w:val="none"/>
        </w:rPr>
        <w:t>单位</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本表“高新育种及服务产业”数据</w:t>
      </w:r>
      <w:r>
        <w:rPr>
          <w:rFonts w:hint="eastAsia" w:ascii="宋体" w:hAnsi="宋体" w:cs="宋体"/>
          <w:color w:val="auto"/>
          <w:kern w:val="0"/>
          <w:sz w:val="18"/>
          <w:szCs w:val="18"/>
          <w:highlight w:val="none"/>
          <w:lang w:val="en-US" w:eastAsia="zh-CN"/>
        </w:rPr>
        <w:t>取自</w:t>
      </w:r>
      <w:r>
        <w:rPr>
          <w:rFonts w:hint="eastAsia" w:ascii="宋体" w:hAnsi="宋体" w:cs="宋体"/>
          <w:color w:val="auto"/>
          <w:kern w:val="0"/>
          <w:sz w:val="18"/>
          <w:szCs w:val="18"/>
          <w:highlight w:val="none"/>
          <w:lang w:eastAsia="zh-CN"/>
        </w:rPr>
        <w:t>三亚崖州湾科技城报送</w:t>
      </w:r>
      <w:r>
        <w:rPr>
          <w:rFonts w:hint="eastAsia" w:ascii="宋体" w:hAnsi="宋体" w:cs="宋体"/>
          <w:color w:val="auto"/>
          <w:kern w:val="0"/>
          <w:sz w:val="18"/>
          <w:szCs w:val="18"/>
          <w:highlight w:val="none"/>
          <w:lang w:val="en-US" w:eastAsia="zh-CN"/>
        </w:rPr>
        <w:t>的</w:t>
      </w:r>
      <w:r>
        <w:rPr>
          <w:rFonts w:hint="eastAsia" w:ascii="宋体" w:hAnsi="宋体" w:eastAsia="宋体" w:cs="宋体"/>
          <w:color w:val="auto"/>
          <w:kern w:val="0"/>
          <w:sz w:val="18"/>
          <w:szCs w:val="18"/>
          <w:highlight w:val="none"/>
        </w:rPr>
        <w:t>GC10</w:t>
      </w:r>
      <w:r>
        <w:rPr>
          <w:rFonts w:hint="eastAsia" w:ascii="宋体" w:hAnsi="宋体" w:eastAsia="宋体" w:cs="宋体"/>
          <w:color w:val="auto"/>
          <w:kern w:val="0"/>
          <w:sz w:val="18"/>
          <w:szCs w:val="18"/>
          <w:highlight w:val="none"/>
          <w:lang w:val="en-US" w:eastAsia="zh-CN"/>
        </w:rPr>
        <w:t>4</w:t>
      </w:r>
      <w:r>
        <w:rPr>
          <w:rFonts w:hint="eastAsia" w:ascii="宋体" w:hAnsi="宋体" w:eastAsia="宋体" w:cs="宋体"/>
          <w:color w:val="auto"/>
          <w:kern w:val="0"/>
          <w:sz w:val="18"/>
          <w:szCs w:val="18"/>
          <w:highlight w:val="none"/>
        </w:rPr>
        <w:t>表</w:t>
      </w:r>
      <w:r>
        <w:rPr>
          <w:rFonts w:hint="eastAsia" w:ascii="宋体" w:hAnsi="宋体" w:cs="宋体"/>
          <w:color w:val="auto"/>
          <w:kern w:val="0"/>
          <w:sz w:val="18"/>
          <w:szCs w:val="18"/>
          <w:highlight w:val="none"/>
          <w:lang w:eastAsia="zh-CN"/>
        </w:rPr>
        <w:t>；其他产业由省科技厅报送</w:t>
      </w:r>
      <w:r>
        <w:rPr>
          <w:rFonts w:hint="default" w:ascii="宋体" w:hAnsi="宋体" w:eastAsia="宋体" w:cs="宋体"/>
          <w:color w:val="auto"/>
          <w:kern w:val="0"/>
          <w:sz w:val="18"/>
          <w:szCs w:val="18"/>
          <w:highlight w:val="none"/>
        </w:rPr>
        <w:t>；</w:t>
      </w:r>
    </w:p>
    <w:p>
      <w:pPr>
        <w:widowControl/>
        <w:spacing w:line="240" w:lineRule="atLeast"/>
        <w:ind w:left="542" w:leftChars="258"/>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3</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填报时间：</w:t>
      </w:r>
      <w:r>
        <w:rPr>
          <w:rFonts w:hint="eastAsia" w:ascii="宋体" w:hAnsi="宋体" w:cs="宋体"/>
          <w:color w:val="auto"/>
          <w:kern w:val="0"/>
          <w:sz w:val="18"/>
          <w:szCs w:val="18"/>
          <w:highlight w:val="none"/>
        </w:rPr>
        <w:t>季后23日（即4月、7月、10月和次年1月）前报送至省工信厅</w:t>
      </w:r>
      <w:r>
        <w:rPr>
          <w:rFonts w:hint="eastAsia" w:ascii="宋体" w:hAnsi="宋体" w:cs="宋体"/>
          <w:color w:val="auto"/>
          <w:kern w:val="0"/>
          <w:sz w:val="18"/>
          <w:szCs w:val="18"/>
          <w:highlight w:val="none"/>
          <w:lang w:eastAsia="zh-CN"/>
        </w:rPr>
        <w:t>。</w:t>
      </w:r>
    </w:p>
    <w:p>
      <w:pPr>
        <w:widowControl/>
        <w:spacing w:line="240" w:lineRule="atLeast"/>
        <w:ind w:left="542" w:leftChars="258"/>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4.</w:t>
      </w:r>
      <w:r>
        <w:rPr>
          <w:rFonts w:hint="eastAsia" w:ascii="宋体" w:hAnsi="宋体" w:cs="宋体"/>
          <w:color w:val="auto"/>
          <w:kern w:val="0"/>
          <w:sz w:val="18"/>
          <w:szCs w:val="18"/>
          <w:highlight w:val="none"/>
        </w:rPr>
        <w:t>审核关系</w:t>
      </w:r>
      <w:r>
        <w:rPr>
          <w:rFonts w:hint="eastAsia" w:ascii="宋体" w:hAnsi="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1）</w:t>
      </w:r>
      <w:r>
        <w:rPr>
          <w:rFonts w:hint="eastAsia" w:ascii="宋体" w:hAnsi="宋体" w:eastAsia="宋体" w:cs="宋体"/>
          <w:color w:val="auto"/>
          <w:kern w:val="0"/>
          <w:sz w:val="18"/>
          <w:szCs w:val="18"/>
          <w:highlight w:val="none"/>
        </w:rPr>
        <w:t>高新技术产业各产业数据等于该产业下所有高新技术产业行业小类数据之和</w:t>
      </w:r>
      <w:r>
        <w:rPr>
          <w:rFonts w:hint="eastAsia" w:ascii="宋体" w:hAnsi="宋体" w:eastAsia="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lang w:eastAsia="zh-CN"/>
        </w:rPr>
        <w:t>）如部分行业分属不同产业</w:t>
      </w:r>
      <w:r>
        <w:rPr>
          <w:rFonts w:hint="eastAsia" w:ascii="宋体" w:hAnsi="宋体" w:eastAsia="宋体" w:cs="宋体"/>
          <w:color w:val="auto"/>
          <w:kern w:val="0"/>
          <w:sz w:val="18"/>
          <w:szCs w:val="18"/>
          <w:highlight w:val="none"/>
          <w:lang w:val="en-US" w:eastAsia="zh-CN"/>
        </w:rPr>
        <w:t>时</w:t>
      </w:r>
      <w:r>
        <w:rPr>
          <w:rFonts w:hint="eastAsia" w:ascii="宋体" w:hAnsi="宋体" w:eastAsia="宋体" w:cs="宋体"/>
          <w:color w:val="auto"/>
          <w:kern w:val="0"/>
          <w:sz w:val="18"/>
          <w:szCs w:val="18"/>
          <w:highlight w:val="none"/>
          <w:lang w:eastAsia="zh-CN"/>
        </w:rPr>
        <w:t>，合计时会剔重计算；</w:t>
      </w:r>
    </w:p>
    <w:p>
      <w:pPr>
        <w:widowControl/>
        <w:spacing w:line="240" w:lineRule="atLeast"/>
        <w:ind w:left="542" w:leftChars="258" w:firstLine="0" w:firstLineChars="0"/>
        <w:jc w:val="left"/>
        <w:rPr>
          <w:rFonts w:hint="default" w:ascii="宋体" w:cs="宋体"/>
          <w:color w:val="auto"/>
          <w:kern w:val="0"/>
          <w:sz w:val="18"/>
          <w:szCs w:val="18"/>
          <w:highlight w:val="none"/>
          <w:lang w:val="en-US" w:eastAsia="zh-CN"/>
        </w:rPr>
      </w:pPr>
      <w:r>
        <w:rPr>
          <w:rFonts w:hint="eastAsia" w:ascii="宋体" w:cs="宋体"/>
          <w:color w:val="auto"/>
          <w:kern w:val="0"/>
          <w:sz w:val="18"/>
          <w:szCs w:val="18"/>
          <w:highlight w:val="none"/>
          <w:lang w:val="en-US" w:eastAsia="zh-CN"/>
        </w:rPr>
        <w:t>5.其他：本表价值量和增长速度均为现行价格计算。</w:t>
      </w:r>
    </w:p>
    <w:bookmarkEnd w:id="68"/>
    <w:bookmarkEnd w:id="69"/>
    <w:bookmarkEnd w:id="70"/>
    <w:bookmarkEnd w:id="71"/>
    <w:bookmarkEnd w:id="72"/>
    <w:bookmarkEnd w:id="73"/>
    <w:p>
      <w:pPr>
        <w:snapToGrid w:val="0"/>
        <w:jc w:val="center"/>
        <w:outlineLvl w:val="2"/>
        <w:rPr>
          <w:color w:val="auto"/>
          <w:highlight w:val="none"/>
        </w:rPr>
      </w:pPr>
      <w:bookmarkStart w:id="75" w:name="_Toc13931"/>
      <w:bookmarkStart w:id="76" w:name="_Toc13520"/>
      <w:bookmarkStart w:id="77" w:name="_Toc27818"/>
      <w:bookmarkStart w:id="78" w:name="_Toc1221397222"/>
      <w:bookmarkStart w:id="79" w:name="_Toc4676"/>
      <w:bookmarkStart w:id="80" w:name="_Toc18634"/>
      <w:r>
        <w:rPr>
          <w:color w:val="auto"/>
          <w:highlight w:val="none"/>
        </w:rPr>
        <w:br w:type="page"/>
      </w:r>
    </w:p>
    <w:p>
      <w:pPr>
        <w:snapToGrid w:val="0"/>
        <w:jc w:val="center"/>
        <w:outlineLvl w:val="2"/>
        <w:rPr>
          <w:color w:val="auto"/>
          <w:highlight w:val="none"/>
        </w:rPr>
      </w:pPr>
    </w:p>
    <w:p>
      <w:pPr>
        <w:snapToGrid w:val="0"/>
        <w:jc w:val="center"/>
        <w:outlineLvl w:val="1"/>
        <w:rPr>
          <w:rFonts w:hint="eastAsia" w:ascii="宋体" w:hAnsi="宋体" w:eastAsia="宋体" w:cs="宋体"/>
          <w:color w:val="auto"/>
          <w:sz w:val="32"/>
          <w:szCs w:val="32"/>
          <w:highlight w:val="none"/>
        </w:rPr>
      </w:pPr>
      <w:bookmarkStart w:id="81" w:name="_Toc31180"/>
      <w:bookmarkStart w:id="82" w:name="_Toc29909"/>
      <w:r>
        <w:rPr>
          <w:rFonts w:hint="eastAsia" w:ascii="宋体" w:hAnsi="宋体" w:cs="宋体"/>
          <w:color w:val="auto"/>
          <w:sz w:val="32"/>
          <w:szCs w:val="32"/>
          <w:highlight w:val="none"/>
          <w:lang w:eastAsia="zh-CN"/>
        </w:rPr>
        <w:t>高新育种及服务产业调查</w:t>
      </w:r>
      <w:r>
        <w:rPr>
          <w:rFonts w:hint="eastAsia" w:ascii="宋体" w:hAnsi="宋体" w:eastAsia="宋体" w:cs="宋体"/>
          <w:color w:val="auto"/>
          <w:sz w:val="32"/>
          <w:szCs w:val="32"/>
          <w:highlight w:val="none"/>
        </w:rPr>
        <w:t>单位名录</w:t>
      </w:r>
      <w:bookmarkEnd w:id="81"/>
      <w:bookmarkEnd w:id="82"/>
    </w:p>
    <w:p>
      <w:pPr>
        <w:snapToGrid w:val="0"/>
        <w:jc w:val="center"/>
        <w:outlineLvl w:val="1"/>
        <w:rPr>
          <w:rFonts w:hint="eastAsia" w:ascii="宋体" w:hAnsi="宋体" w:eastAsia="宋体" w:cs="宋体"/>
          <w:color w:val="auto"/>
          <w:sz w:val="32"/>
          <w:szCs w:val="32"/>
          <w:highlight w:val="none"/>
        </w:rPr>
      </w:pPr>
    </w:p>
    <w:p>
      <w:pPr>
        <w:snapToGrid w:val="0"/>
        <w:spacing w:before="480" w:beforeLines="200" w:after="0" w:afterLines="0" w:line="240" w:lineRule="auto"/>
        <w:ind w:left="0" w:leftChars="0" w:firstLine="6300" w:firstLineChars="3500"/>
        <w:jc w:val="both"/>
        <w:outlineLvl w:val="9"/>
        <w:rPr>
          <w:rFonts w:ascii="宋体" w:hAnsi="宋体" w:cs="宋体"/>
          <w:color w:val="auto"/>
          <w:sz w:val="18"/>
          <w:szCs w:val="18"/>
          <w:highlight w:val="none"/>
        </w:rPr>
      </w:pPr>
      <w:r>
        <w:rPr>
          <w:rFonts w:hint="eastAsia" w:ascii="宋体" w:hAnsi="宋体"/>
          <w:color w:val="auto"/>
          <w:sz w:val="18"/>
          <w:szCs w:val="18"/>
          <w:highlight w:val="none"/>
        </w:rPr>
        <w:t>表    号：GC10</w:t>
      </w:r>
      <w:r>
        <w:rPr>
          <w:rFonts w:hint="eastAsia" w:ascii="宋体" w:hAnsi="宋体"/>
          <w:color w:val="auto"/>
          <w:sz w:val="18"/>
          <w:szCs w:val="18"/>
          <w:highlight w:val="none"/>
          <w:lang w:val="en-US" w:eastAsia="zh-CN"/>
        </w:rPr>
        <w:t>3</w:t>
      </w:r>
      <w:r>
        <w:rPr>
          <w:rFonts w:hint="eastAsia" w:ascii="宋体" w:hAnsi="宋体"/>
          <w:color w:val="auto"/>
          <w:sz w:val="18"/>
          <w:szCs w:val="18"/>
          <w:highlight w:val="none"/>
        </w:rPr>
        <w:t xml:space="preserve">表 </w:t>
      </w:r>
    </w:p>
    <w:p>
      <w:pPr>
        <w:spacing w:line="240" w:lineRule="exact"/>
        <w:ind w:left="0" w:leftChars="0" w:firstLine="6300" w:firstLineChars="3500"/>
        <w:rPr>
          <w:rFonts w:ascii="宋体" w:hAnsi="宋体" w:cs="宋体"/>
          <w:color w:val="auto"/>
          <w:sz w:val="18"/>
          <w:szCs w:val="18"/>
          <w:highlight w:val="none"/>
        </w:rPr>
      </w:pPr>
      <w:r>
        <w:rPr>
          <w:rFonts w:hint="eastAsia" w:ascii="宋体" w:hAnsi="宋体"/>
          <w:color w:val="auto"/>
          <w:sz w:val="18"/>
          <w:szCs w:val="18"/>
          <w:highlight w:val="none"/>
        </w:rPr>
        <w:t>制定机关：海</w:t>
      </w:r>
      <w:r>
        <w:rPr>
          <w:rFonts w:ascii="宋体" w:hAnsi="宋体"/>
          <w:color w:val="auto"/>
          <w:sz w:val="18"/>
          <w:szCs w:val="18"/>
          <w:highlight w:val="none"/>
        </w:rPr>
        <w:t>南</w:t>
      </w:r>
      <w:r>
        <w:rPr>
          <w:rFonts w:hint="eastAsia" w:ascii="宋体" w:hAnsi="宋体"/>
          <w:color w:val="auto"/>
          <w:sz w:val="18"/>
          <w:szCs w:val="18"/>
          <w:highlight w:val="none"/>
        </w:rPr>
        <w:t>省</w:t>
      </w:r>
      <w:r>
        <w:rPr>
          <w:rFonts w:ascii="宋体" w:hAnsi="宋体"/>
          <w:color w:val="auto"/>
          <w:sz w:val="18"/>
          <w:szCs w:val="18"/>
          <w:highlight w:val="none"/>
        </w:rPr>
        <w:t>工业和信息化厅</w:t>
      </w:r>
    </w:p>
    <w:p>
      <w:pPr>
        <w:spacing w:line="240" w:lineRule="exact"/>
        <w:ind w:left="0" w:leftChars="0" w:firstLine="6300" w:firstLineChars="3500"/>
        <w:rPr>
          <w:rFonts w:ascii="宋体" w:hAnsi="宋体" w:cs="宋体"/>
          <w:color w:val="auto"/>
          <w:sz w:val="18"/>
          <w:szCs w:val="18"/>
          <w:highlight w:val="none"/>
        </w:rPr>
      </w:pPr>
      <w:r>
        <w:rPr>
          <w:rFonts w:hint="eastAsia" w:ascii="宋体" w:hAnsi="宋体"/>
          <w:color w:val="auto"/>
          <w:sz w:val="18"/>
          <w:szCs w:val="18"/>
          <w:highlight w:val="none"/>
        </w:rPr>
        <w:t>批准机关：海南</w:t>
      </w:r>
      <w:r>
        <w:rPr>
          <w:rFonts w:ascii="宋体" w:hAnsi="宋体"/>
          <w:color w:val="auto"/>
          <w:sz w:val="18"/>
          <w:szCs w:val="18"/>
          <w:highlight w:val="none"/>
        </w:rPr>
        <w:t>省</w:t>
      </w:r>
      <w:r>
        <w:rPr>
          <w:rFonts w:hint="eastAsia" w:ascii="宋体" w:hAnsi="宋体"/>
          <w:color w:val="auto"/>
          <w:sz w:val="18"/>
          <w:szCs w:val="18"/>
          <w:highlight w:val="none"/>
        </w:rPr>
        <w:t>统计局</w:t>
      </w:r>
    </w:p>
    <w:p>
      <w:pPr>
        <w:spacing w:line="240" w:lineRule="exact"/>
        <w:ind w:left="0" w:leftChars="0" w:firstLine="6300" w:firstLineChars="3500"/>
        <w:jc w:val="left"/>
        <w:rPr>
          <w:rFonts w:hint="eastAsia" w:ascii="宋体" w:hAnsi="宋体"/>
          <w:color w:val="auto"/>
          <w:sz w:val="18"/>
          <w:szCs w:val="18"/>
          <w:highlight w:val="none"/>
        </w:rPr>
      </w:pPr>
      <w:r>
        <w:rPr>
          <w:rFonts w:hint="eastAsia" w:ascii="宋体" w:hAnsi="宋体"/>
          <w:color w:val="auto"/>
          <w:sz w:val="18"/>
          <w:szCs w:val="18"/>
          <w:highlight w:val="none"/>
          <w:lang w:eastAsia="zh-CN"/>
        </w:rPr>
        <w:t>批准</w:t>
      </w:r>
      <w:r>
        <w:rPr>
          <w:rFonts w:hint="eastAsia" w:ascii="宋体" w:hAnsi="宋体"/>
          <w:color w:val="auto"/>
          <w:sz w:val="18"/>
          <w:szCs w:val="18"/>
          <w:highlight w:val="none"/>
        </w:rPr>
        <w:t>文号：</w:t>
      </w:r>
      <w:r>
        <w:rPr>
          <w:rFonts w:hint="eastAsia" w:ascii="宋体" w:hAnsi="宋体" w:eastAsia="宋体"/>
          <w:color w:val="auto"/>
          <w:sz w:val="18"/>
          <w:szCs w:val="18"/>
          <w:highlight w:val="none"/>
        </w:rPr>
        <w:t>琼统函〔</w:t>
      </w:r>
      <w:r>
        <w:rPr>
          <w:rFonts w:hint="default" w:ascii="宋体" w:hAnsi="宋体"/>
          <w:color w:val="auto"/>
          <w:sz w:val="18"/>
          <w:szCs w:val="18"/>
          <w:highlight w:val="none"/>
          <w:lang w:val="en-US"/>
        </w:rPr>
        <w:t>2026</w:t>
      </w:r>
      <w:r>
        <w:rPr>
          <w:rFonts w:hint="eastAsia" w:ascii="宋体" w:hAnsi="宋体" w:eastAsia="宋体"/>
          <w:color w:val="auto"/>
          <w:sz w:val="18"/>
          <w:szCs w:val="18"/>
          <w:highlight w:val="none"/>
        </w:rPr>
        <w:t>〕</w:t>
      </w:r>
      <w:r>
        <w:rPr>
          <w:rFonts w:hint="default" w:ascii="宋体" w:hAnsi="宋体"/>
          <w:color w:val="auto"/>
          <w:sz w:val="18"/>
          <w:szCs w:val="18"/>
          <w:highlight w:val="none"/>
          <w:lang w:val="en-US"/>
        </w:rPr>
        <w:t>3</w:t>
      </w:r>
      <w:r>
        <w:rPr>
          <w:rFonts w:hint="eastAsia" w:ascii="宋体" w:hAnsi="宋体" w:eastAsia="宋体"/>
          <w:color w:val="auto"/>
          <w:sz w:val="18"/>
          <w:szCs w:val="18"/>
          <w:highlight w:val="none"/>
        </w:rPr>
        <w:t>号</w:t>
      </w:r>
      <w:r>
        <w:rPr>
          <w:rFonts w:hint="eastAsia" w:ascii="宋体" w:hAnsi="宋体"/>
          <w:color w:val="auto"/>
          <w:sz w:val="18"/>
          <w:szCs w:val="18"/>
          <w:highlight w:val="none"/>
        </w:rPr>
        <w:t xml:space="preserve">  </w:t>
      </w:r>
    </w:p>
    <w:p>
      <w:pPr>
        <w:spacing w:line="240" w:lineRule="exact"/>
        <w:ind w:left="0" w:leftChars="0" w:firstLine="6300" w:firstLineChars="3500"/>
        <w:jc w:val="left"/>
        <w:rPr>
          <w:color w:val="auto"/>
          <w:sz w:val="18"/>
          <w:szCs w:val="18"/>
          <w:highlight w:val="none"/>
        </w:rPr>
      </w:pPr>
      <w:r>
        <w:rPr>
          <w:rFonts w:hint="eastAsia" w:ascii="宋体" w:hAnsi="宋体"/>
          <w:color w:val="auto"/>
          <w:sz w:val="18"/>
          <w:szCs w:val="18"/>
          <w:highlight w:val="none"/>
          <w:lang w:eastAsia="zh-CN"/>
        </w:rPr>
        <w:t>有效期</w:t>
      </w:r>
      <w:r>
        <w:rPr>
          <w:rFonts w:hint="eastAsia" w:ascii="宋体" w:hAnsi="宋体"/>
          <w:color w:val="auto"/>
          <w:sz w:val="18"/>
          <w:szCs w:val="18"/>
          <w:highlight w:val="none"/>
        </w:rPr>
        <w:t>至</w:t>
      </w:r>
      <w:r>
        <w:rPr>
          <w:rFonts w:hint="default" w:ascii="宋体" w:hAnsi="宋体"/>
          <w:color w:val="auto"/>
          <w:sz w:val="18"/>
          <w:szCs w:val="18"/>
          <w:highlight w:val="none"/>
        </w:rPr>
        <w:t>：202</w:t>
      </w:r>
      <w:r>
        <w:rPr>
          <w:rFonts w:hint="eastAsia" w:ascii="宋体" w:hAnsi="宋体"/>
          <w:color w:val="auto"/>
          <w:sz w:val="18"/>
          <w:szCs w:val="18"/>
          <w:highlight w:val="none"/>
          <w:lang w:val="en-US" w:eastAsia="zh-CN"/>
        </w:rPr>
        <w:t>9</w:t>
      </w:r>
      <w:r>
        <w:rPr>
          <w:rFonts w:hint="eastAsia" w:ascii="宋体" w:hAnsi="宋体" w:cs="宋体"/>
          <w:color w:val="auto"/>
          <w:sz w:val="18"/>
          <w:szCs w:val="18"/>
          <w:highlight w:val="none"/>
        </w:rPr>
        <w:t>年</w:t>
      </w:r>
      <w:r>
        <w:rPr>
          <w:rFonts w:hint="eastAsia" w:ascii="宋体" w:hAnsi="宋体" w:cs="宋体"/>
          <w:color w:val="auto"/>
          <w:sz w:val="18"/>
          <w:szCs w:val="18"/>
          <w:highlight w:val="none"/>
          <w:lang w:val="en-US" w:eastAsia="zh-CN"/>
        </w:rPr>
        <w:t xml:space="preserve"> 1 </w:t>
      </w:r>
      <w:r>
        <w:rPr>
          <w:color w:val="auto"/>
          <w:sz w:val="18"/>
          <w:szCs w:val="18"/>
          <w:highlight w:val="none"/>
        </w:rPr>
        <w:t>月</w:t>
      </w:r>
    </w:p>
    <w:p>
      <w:pPr>
        <w:spacing w:line="240" w:lineRule="exact"/>
        <w:ind w:left="0" w:leftChars="0" w:firstLine="0" w:firstLineChars="0"/>
        <w:jc w:val="left"/>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rPr>
        <w:t>综合</w:t>
      </w:r>
      <w:r>
        <w:rPr>
          <w:rFonts w:ascii="宋体" w:hAnsi="宋体" w:cs="宋体"/>
          <w:color w:val="auto"/>
          <w:sz w:val="18"/>
          <w:szCs w:val="18"/>
          <w:highlight w:val="none"/>
        </w:rPr>
        <w:t>机关</w:t>
      </w:r>
      <w:r>
        <w:rPr>
          <w:rFonts w:hint="eastAsia" w:ascii="宋体" w:hAnsi="宋体" w:cs="宋体"/>
          <w:color w:val="auto"/>
          <w:sz w:val="18"/>
          <w:szCs w:val="18"/>
          <w:highlight w:val="none"/>
        </w:rPr>
        <w:t xml:space="preserve">名称：         </w:t>
      </w:r>
      <w:r>
        <w:rPr>
          <w:rFonts w:hint="eastAsia" w:ascii="宋体" w:hAnsi="宋体" w:cs="宋体"/>
          <w:color w:val="auto"/>
          <w:sz w:val="18"/>
          <w:szCs w:val="18"/>
          <w:highlight w:val="none"/>
          <w:lang w:val="en-US" w:eastAsia="zh-CN"/>
        </w:rPr>
        <w:t xml:space="preserve">                       </w:t>
      </w:r>
    </w:p>
    <w:p>
      <w:pPr>
        <w:spacing w:line="240" w:lineRule="exact"/>
        <w:ind w:left="0" w:leftChars="0" w:firstLine="0" w:firstLineChars="0"/>
        <w:jc w:val="center"/>
        <w:rPr>
          <w:rFonts w:hint="eastAsia" w:ascii="宋体" w:hAnsi="宋体" w:cs="宋体"/>
          <w:color w:val="auto"/>
          <w:sz w:val="18"/>
          <w:szCs w:val="18"/>
          <w:highlight w:val="none"/>
        </w:rPr>
      </w:pPr>
      <w:r>
        <w:rPr>
          <w:rFonts w:hint="eastAsia" w:ascii="等线" w:hAnsi="等线" w:eastAsia="等线" w:cs="宋体"/>
          <w:b/>
          <w:bCs/>
          <w:color w:val="auto"/>
          <w:kern w:val="0"/>
          <w:sz w:val="18"/>
          <w:szCs w:val="18"/>
          <w:highlight w:val="none"/>
        </w:rPr>
        <w:t>20</w:t>
      </w:r>
      <w:r>
        <w:rPr>
          <w:rFonts w:hint="eastAsia" w:ascii="等线" w:hAnsi="等线" w:eastAsia="等线" w:cs="宋体"/>
          <w:b/>
          <w:bCs/>
          <w:color w:val="auto"/>
          <w:kern w:val="0"/>
          <w:sz w:val="18"/>
          <w:szCs w:val="18"/>
          <w:highlight w:val="none"/>
          <w:lang w:val="en-US" w:eastAsia="zh-CN"/>
        </w:rPr>
        <w:t>2</w:t>
      </w:r>
      <w:r>
        <w:rPr>
          <w:rFonts w:hint="eastAsia" w:ascii="等线" w:hAnsi="等线" w:eastAsia="等线" w:cs="宋体"/>
          <w:b/>
          <w:bCs/>
          <w:color w:val="auto"/>
          <w:kern w:val="0"/>
          <w:sz w:val="18"/>
          <w:szCs w:val="18"/>
          <w:highlight w:val="none"/>
        </w:rPr>
        <w:t xml:space="preserve">  年</w:t>
      </w:r>
      <w:r>
        <w:rPr>
          <w:rFonts w:hint="eastAsia" w:ascii="宋体" w:hAnsi="宋体"/>
          <w:color w:val="auto"/>
          <w:sz w:val="18"/>
          <w:szCs w:val="18"/>
          <w:highlight w:val="none"/>
          <w:lang w:val="en-US" w:eastAsia="zh-CN"/>
        </w:rPr>
        <w:t>1-   月</w:t>
      </w:r>
    </w:p>
    <w:tbl>
      <w:tblPr>
        <w:tblStyle w:val="16"/>
        <w:tblW w:w="4994" w:type="pct"/>
        <w:jc w:val="center"/>
        <w:tblLayout w:type="autofit"/>
        <w:tblCellMar>
          <w:top w:w="0" w:type="dxa"/>
          <w:left w:w="108" w:type="dxa"/>
          <w:bottom w:w="0" w:type="dxa"/>
          <w:right w:w="108" w:type="dxa"/>
        </w:tblCellMar>
      </w:tblPr>
      <w:tblGrid>
        <w:gridCol w:w="2237"/>
        <w:gridCol w:w="1284"/>
        <w:gridCol w:w="2544"/>
        <w:gridCol w:w="1286"/>
        <w:gridCol w:w="2210"/>
      </w:tblGrid>
      <w:tr>
        <w:tblPrEx>
          <w:tblCellMar>
            <w:top w:w="0" w:type="dxa"/>
            <w:left w:w="108" w:type="dxa"/>
            <w:bottom w:w="0" w:type="dxa"/>
            <w:right w:w="108" w:type="dxa"/>
          </w:tblCellMar>
        </w:tblPrEx>
        <w:trPr>
          <w:trHeight w:val="600" w:hRule="atLeast"/>
          <w:jc w:val="center"/>
        </w:trPr>
        <w:tc>
          <w:tcPr>
            <w:tcW w:w="1170" w:type="pct"/>
            <w:tcBorders>
              <w:top w:val="single" w:color="auto" w:sz="8" w:space="0"/>
              <w:left w:val="nil"/>
              <w:bottom w:val="single" w:color="auto" w:sz="2" w:space="0"/>
              <w:right w:val="single" w:color="auto" w:sz="2" w:space="0"/>
            </w:tcBorders>
            <w:noWrap w:val="0"/>
            <w:vAlign w:val="center"/>
          </w:tcPr>
          <w:p>
            <w:pPr>
              <w:widowControl/>
              <w:spacing w:line="240" w:lineRule="auto"/>
              <w:jc w:val="center"/>
              <w:textAlignment w:val="center"/>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统一社会信用代码</w:t>
            </w:r>
          </w:p>
        </w:tc>
        <w:tc>
          <w:tcPr>
            <w:tcW w:w="671" w:type="pct"/>
            <w:tcBorders>
              <w:top w:val="single" w:color="auto" w:sz="8" w:space="0"/>
              <w:left w:val="single" w:color="auto" w:sz="2" w:space="0"/>
              <w:bottom w:val="single" w:color="auto" w:sz="2" w:space="0"/>
              <w:right w:val="single" w:color="auto" w:sz="2" w:space="0"/>
            </w:tcBorders>
            <w:noWrap w:val="0"/>
            <w:vAlign w:val="center"/>
          </w:tcPr>
          <w:p>
            <w:pPr>
              <w:widowControl/>
              <w:spacing w:line="240" w:lineRule="auto"/>
              <w:jc w:val="center"/>
              <w:textAlignment w:val="center"/>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单位详细名称</w:t>
            </w:r>
          </w:p>
        </w:tc>
        <w:tc>
          <w:tcPr>
            <w:tcW w:w="1330" w:type="pct"/>
            <w:tcBorders>
              <w:top w:val="single" w:color="auto" w:sz="8" w:space="0"/>
              <w:left w:val="single" w:color="auto" w:sz="2" w:space="0"/>
              <w:bottom w:val="single" w:color="auto" w:sz="2" w:space="0"/>
              <w:right w:val="single" w:color="auto" w:sz="4" w:space="0"/>
            </w:tcBorders>
            <w:noWrap w:val="0"/>
            <w:vAlign w:val="center"/>
          </w:tcPr>
          <w:p>
            <w:pPr>
              <w:widowControl/>
              <w:spacing w:line="240" w:lineRule="auto"/>
              <w:jc w:val="center"/>
              <w:textAlignment w:val="center"/>
              <w:rPr>
                <w:rFonts w:hint="eastAsia" w:ascii="宋体" w:hAnsi="宋体" w:eastAsia="宋体" w:cs="宋体"/>
                <w:b/>
                <w:bCs/>
                <w:color w:val="auto"/>
                <w:kern w:val="0"/>
                <w:sz w:val="22"/>
                <w:szCs w:val="22"/>
                <w:highlight w:val="none"/>
                <w:lang w:eastAsia="zh-CN" w:bidi="ar"/>
              </w:rPr>
            </w:pPr>
            <w:r>
              <w:rPr>
                <w:rFonts w:hint="eastAsia" w:ascii="宋体" w:hAnsi="宋体" w:eastAsia="宋体" w:cs="宋体"/>
                <w:b/>
                <w:bCs/>
                <w:color w:val="auto"/>
                <w:kern w:val="0"/>
                <w:sz w:val="22"/>
                <w:szCs w:val="22"/>
                <w:highlight w:val="none"/>
                <w:lang w:eastAsia="zh-CN" w:bidi="ar"/>
              </w:rPr>
              <w:t>产业名称</w:t>
            </w:r>
          </w:p>
        </w:tc>
        <w:tc>
          <w:tcPr>
            <w:tcW w:w="672" w:type="pct"/>
            <w:tcBorders>
              <w:top w:val="single" w:color="auto" w:sz="8" w:space="0"/>
              <w:left w:val="single" w:color="auto" w:sz="4" w:space="0"/>
              <w:bottom w:val="single" w:color="auto" w:sz="2" w:space="0"/>
              <w:right w:val="single" w:color="auto" w:sz="4" w:space="0"/>
            </w:tcBorders>
            <w:noWrap w:val="0"/>
            <w:vAlign w:val="center"/>
          </w:tcPr>
          <w:p>
            <w:pPr>
              <w:widowControl/>
              <w:spacing w:line="240" w:lineRule="auto"/>
              <w:jc w:val="center"/>
              <w:textAlignment w:val="center"/>
              <w:rPr>
                <w:rFonts w:hint="eastAsia" w:ascii="宋体" w:hAnsi="宋体" w:eastAsia="宋体" w:cs="宋体"/>
                <w:b/>
                <w:bCs/>
                <w:color w:val="auto"/>
                <w:kern w:val="0"/>
                <w:sz w:val="22"/>
                <w:szCs w:val="22"/>
                <w:highlight w:val="none"/>
                <w:lang w:eastAsia="zh-CN" w:bidi="ar"/>
              </w:rPr>
            </w:pPr>
            <w:r>
              <w:rPr>
                <w:rFonts w:hint="eastAsia" w:ascii="宋体" w:hAnsi="宋体" w:eastAsia="宋体" w:cs="宋体"/>
                <w:b/>
                <w:bCs/>
                <w:color w:val="auto"/>
                <w:kern w:val="0"/>
                <w:sz w:val="22"/>
                <w:szCs w:val="22"/>
                <w:highlight w:val="none"/>
                <w:lang w:eastAsia="zh-CN" w:bidi="ar"/>
              </w:rPr>
              <w:t>子类别名称</w:t>
            </w:r>
          </w:p>
        </w:tc>
        <w:tc>
          <w:tcPr>
            <w:tcW w:w="1155" w:type="pct"/>
            <w:tcBorders>
              <w:top w:val="single" w:color="auto" w:sz="8" w:space="0"/>
              <w:left w:val="single" w:color="auto" w:sz="4" w:space="0"/>
              <w:bottom w:val="single" w:color="auto" w:sz="2" w:space="0"/>
              <w:right w:val="nil"/>
            </w:tcBorders>
            <w:noWrap w:val="0"/>
            <w:vAlign w:val="center"/>
          </w:tcPr>
          <w:p>
            <w:pPr>
              <w:widowControl/>
              <w:spacing w:line="240" w:lineRule="auto"/>
              <w:jc w:val="center"/>
              <w:textAlignment w:val="center"/>
              <w:rPr>
                <w:rFonts w:hint="eastAsia" w:ascii="宋体" w:hAnsi="宋体" w:eastAsia="宋体" w:cs="宋体"/>
                <w:b/>
                <w:bCs/>
                <w:color w:val="auto"/>
                <w:kern w:val="0"/>
                <w:sz w:val="22"/>
                <w:szCs w:val="22"/>
                <w:highlight w:val="none"/>
                <w:lang w:eastAsia="zh-CN" w:bidi="ar"/>
              </w:rPr>
            </w:pPr>
            <w:r>
              <w:rPr>
                <w:rFonts w:hint="eastAsia" w:ascii="宋体" w:hAnsi="宋体" w:eastAsia="宋体" w:cs="宋体"/>
                <w:b/>
                <w:bCs/>
                <w:color w:val="auto"/>
                <w:kern w:val="0"/>
                <w:sz w:val="22"/>
                <w:szCs w:val="22"/>
                <w:highlight w:val="none"/>
                <w:lang w:eastAsia="zh-CN" w:bidi="ar"/>
              </w:rPr>
              <w:t>行业代码</w:t>
            </w:r>
          </w:p>
        </w:tc>
      </w:tr>
      <w:tr>
        <w:tblPrEx>
          <w:tblCellMar>
            <w:top w:w="0" w:type="dxa"/>
            <w:left w:w="108" w:type="dxa"/>
            <w:bottom w:w="0" w:type="dxa"/>
            <w:right w:w="108" w:type="dxa"/>
          </w:tblCellMar>
        </w:tblPrEx>
        <w:trPr>
          <w:trHeight w:val="1037" w:hRule="atLeast"/>
          <w:jc w:val="center"/>
        </w:trPr>
        <w:tc>
          <w:tcPr>
            <w:tcW w:w="1170" w:type="pct"/>
            <w:tcBorders>
              <w:top w:val="single" w:color="auto" w:sz="2" w:space="0"/>
              <w:left w:val="nil"/>
              <w:bottom w:val="single" w:color="auto" w:sz="8" w:space="0"/>
              <w:right w:val="single" w:color="auto" w:sz="2" w:space="0"/>
            </w:tcBorders>
            <w:noWrap w:val="0"/>
            <w:vAlign w:val="top"/>
          </w:tcPr>
          <w:p>
            <w:pPr>
              <w:widowControl/>
              <w:spacing w:line="300" w:lineRule="atLeas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（本表由</w:t>
            </w:r>
            <w:r>
              <w:rPr>
                <w:rFonts w:hint="eastAsia" w:ascii="宋体" w:hAnsi="宋体" w:cs="宋体"/>
                <w:b/>
                <w:bCs/>
                <w:color w:val="auto"/>
                <w:kern w:val="0"/>
                <w:sz w:val="18"/>
                <w:szCs w:val="18"/>
                <w:highlight w:val="none"/>
                <w:lang w:eastAsia="zh-CN"/>
              </w:rPr>
              <w:t>上报单位</w:t>
            </w:r>
            <w:r>
              <w:rPr>
                <w:rFonts w:hint="eastAsia" w:ascii="宋体" w:hAnsi="宋体" w:cs="宋体"/>
                <w:b/>
                <w:bCs/>
                <w:color w:val="auto"/>
                <w:kern w:val="0"/>
                <w:sz w:val="18"/>
                <w:szCs w:val="18"/>
                <w:highlight w:val="none"/>
              </w:rPr>
              <w:t>根据实际情况填报）</w:t>
            </w:r>
          </w:p>
          <w:p>
            <w:pPr>
              <w:widowControl/>
              <w:spacing w:line="300" w:lineRule="atLeast"/>
              <w:rPr>
                <w:rFonts w:ascii="宋体" w:hAnsi="宋体" w:cs="宋体"/>
                <w:b/>
                <w:bCs/>
                <w:color w:val="auto"/>
                <w:kern w:val="0"/>
                <w:sz w:val="18"/>
                <w:szCs w:val="18"/>
                <w:highlight w:val="none"/>
              </w:rPr>
            </w:pPr>
            <w:r>
              <w:rPr>
                <w:rFonts w:ascii="宋体" w:hAnsi="宋体" w:cs="宋体"/>
                <w:b/>
                <w:bCs/>
                <w:color w:val="auto"/>
                <w:kern w:val="0"/>
                <w:sz w:val="18"/>
                <w:szCs w:val="18"/>
                <w:highlight w:val="none"/>
              </w:rPr>
              <w:t>……</w:t>
            </w:r>
          </w:p>
        </w:tc>
        <w:tc>
          <w:tcPr>
            <w:tcW w:w="671" w:type="pct"/>
            <w:tcBorders>
              <w:top w:val="single" w:color="auto" w:sz="2" w:space="0"/>
              <w:left w:val="single" w:color="auto" w:sz="2" w:space="0"/>
              <w:bottom w:val="single" w:color="auto" w:sz="8" w:space="0"/>
              <w:right w:val="single" w:color="auto" w:sz="2" w:space="0"/>
            </w:tcBorders>
            <w:noWrap w:val="0"/>
            <w:vAlign w:val="top"/>
          </w:tcPr>
          <w:p>
            <w:pPr>
              <w:widowControl/>
              <w:spacing w:line="300" w:lineRule="atLeast"/>
              <w:jc w:val="center"/>
              <w:rPr>
                <w:rFonts w:ascii="宋体" w:hAnsi="宋体" w:cs="宋体"/>
                <w:color w:val="auto"/>
                <w:kern w:val="0"/>
                <w:sz w:val="18"/>
                <w:szCs w:val="18"/>
                <w:highlight w:val="none"/>
              </w:rPr>
            </w:pPr>
          </w:p>
          <w:p>
            <w:pPr>
              <w:widowControl/>
              <w:spacing w:line="300" w:lineRule="atLeast"/>
              <w:jc w:val="center"/>
              <w:rPr>
                <w:rFonts w:ascii="宋体" w:hAnsi="宋体" w:cs="宋体"/>
                <w:color w:val="auto"/>
                <w:kern w:val="0"/>
                <w:sz w:val="18"/>
                <w:szCs w:val="18"/>
                <w:highlight w:val="none"/>
              </w:rPr>
            </w:pPr>
          </w:p>
          <w:p>
            <w:pPr>
              <w:widowControl/>
              <w:spacing w:line="300" w:lineRule="atLeast"/>
              <w:jc w:val="center"/>
              <w:rPr>
                <w:rFonts w:ascii="宋体" w:hAnsi="宋体" w:cs="宋体"/>
                <w:color w:val="auto"/>
                <w:kern w:val="0"/>
                <w:sz w:val="18"/>
                <w:szCs w:val="18"/>
                <w:highlight w:val="none"/>
              </w:rPr>
            </w:pPr>
          </w:p>
          <w:p>
            <w:pPr>
              <w:widowControl/>
              <w:spacing w:line="300" w:lineRule="atLeast"/>
              <w:jc w:val="center"/>
              <w:rPr>
                <w:rFonts w:ascii="宋体" w:hAnsi="宋体" w:cs="宋体"/>
                <w:color w:val="auto"/>
                <w:kern w:val="0"/>
                <w:sz w:val="18"/>
                <w:szCs w:val="18"/>
                <w:highlight w:val="none"/>
              </w:rPr>
            </w:pPr>
          </w:p>
        </w:tc>
        <w:tc>
          <w:tcPr>
            <w:tcW w:w="1330" w:type="pct"/>
            <w:tcBorders>
              <w:top w:val="single" w:color="auto" w:sz="2" w:space="0"/>
              <w:left w:val="single" w:color="auto" w:sz="2" w:space="0"/>
              <w:bottom w:val="single" w:color="auto" w:sz="8" w:space="0"/>
              <w:right w:val="single" w:color="auto" w:sz="4" w:space="0"/>
            </w:tcBorders>
            <w:noWrap w:val="0"/>
            <w:vAlign w:val="top"/>
          </w:tcPr>
          <w:p>
            <w:pPr>
              <w:spacing w:line="300" w:lineRule="exact"/>
              <w:ind w:right="-176" w:rightChars="-84"/>
              <w:jc w:val="center"/>
              <w:rPr>
                <w:rFonts w:ascii="宋体" w:hAnsi="宋体" w:cs="宋体"/>
                <w:color w:val="auto"/>
                <w:kern w:val="0"/>
                <w:sz w:val="18"/>
                <w:szCs w:val="18"/>
                <w:highlight w:val="none"/>
              </w:rPr>
            </w:pPr>
          </w:p>
        </w:tc>
        <w:tc>
          <w:tcPr>
            <w:tcW w:w="672" w:type="pct"/>
            <w:tcBorders>
              <w:top w:val="single" w:color="auto" w:sz="2" w:space="0"/>
              <w:left w:val="single" w:color="auto" w:sz="4" w:space="0"/>
              <w:bottom w:val="single" w:color="auto" w:sz="8" w:space="0"/>
              <w:right w:val="single" w:color="auto" w:sz="4" w:space="0"/>
            </w:tcBorders>
            <w:noWrap w:val="0"/>
            <w:vAlign w:val="top"/>
          </w:tcPr>
          <w:p>
            <w:pPr>
              <w:spacing w:line="300" w:lineRule="exact"/>
              <w:ind w:right="-176" w:rightChars="-84"/>
              <w:jc w:val="center"/>
              <w:rPr>
                <w:rFonts w:ascii="宋体" w:hAnsi="宋体" w:cs="宋体"/>
                <w:color w:val="auto"/>
                <w:kern w:val="0"/>
                <w:sz w:val="18"/>
                <w:szCs w:val="18"/>
                <w:highlight w:val="none"/>
              </w:rPr>
            </w:pPr>
          </w:p>
        </w:tc>
        <w:tc>
          <w:tcPr>
            <w:tcW w:w="1155" w:type="pct"/>
            <w:tcBorders>
              <w:top w:val="single" w:color="auto" w:sz="2" w:space="0"/>
              <w:left w:val="single" w:color="auto" w:sz="4" w:space="0"/>
              <w:bottom w:val="single" w:color="auto" w:sz="8" w:space="0"/>
              <w:right w:val="nil"/>
            </w:tcBorders>
            <w:noWrap w:val="0"/>
            <w:vAlign w:val="top"/>
          </w:tcPr>
          <w:p>
            <w:pPr>
              <w:spacing w:line="300" w:lineRule="exact"/>
              <w:ind w:right="-176" w:rightChars="-84"/>
              <w:jc w:val="center"/>
              <w:rPr>
                <w:rFonts w:ascii="宋体" w:hAnsi="宋体" w:cs="宋体"/>
                <w:color w:val="auto"/>
                <w:kern w:val="0"/>
                <w:sz w:val="18"/>
                <w:szCs w:val="18"/>
                <w:highlight w:val="none"/>
              </w:rPr>
            </w:pPr>
          </w:p>
        </w:tc>
      </w:tr>
    </w:tbl>
    <w:p>
      <w:pPr>
        <w:adjustRightInd w:val="0"/>
        <w:spacing w:line="240" w:lineRule="exact"/>
        <w:rPr>
          <w:rFonts w:ascii="宋体"/>
          <w:color w:val="auto"/>
          <w:sz w:val="18"/>
          <w:szCs w:val="18"/>
          <w:highlight w:val="none"/>
        </w:rPr>
      </w:pPr>
      <w:r>
        <w:rPr>
          <w:rFonts w:hint="eastAsia" w:ascii="宋体" w:cs="宋体"/>
          <w:color w:val="auto"/>
          <w:sz w:val="18"/>
          <w:szCs w:val="18"/>
          <w:highlight w:val="none"/>
        </w:rPr>
        <w:t>单位负责人：</w:t>
      </w:r>
      <w:r>
        <w:rPr>
          <w:rFonts w:ascii="宋体" w:cs="宋体"/>
          <w:color w:val="auto"/>
          <w:sz w:val="18"/>
          <w:szCs w:val="18"/>
          <w:highlight w:val="none"/>
        </w:rPr>
        <w:t xml:space="preserve">        </w:t>
      </w:r>
      <w:r>
        <w:rPr>
          <w:rFonts w:hint="eastAsia" w:ascii="宋体" w:cs="宋体"/>
          <w:color w:val="auto"/>
          <w:sz w:val="18"/>
          <w:szCs w:val="18"/>
          <w:highlight w:val="none"/>
        </w:rPr>
        <w:t>统计负责人：</w:t>
      </w:r>
      <w:r>
        <w:rPr>
          <w:rFonts w:ascii="宋体" w:cs="宋体"/>
          <w:color w:val="auto"/>
          <w:sz w:val="18"/>
          <w:szCs w:val="18"/>
          <w:highlight w:val="none"/>
        </w:rPr>
        <w:t xml:space="preserve">        </w:t>
      </w:r>
      <w:r>
        <w:rPr>
          <w:rFonts w:hint="eastAsia" w:ascii="宋体" w:cs="宋体"/>
          <w:color w:val="auto"/>
          <w:sz w:val="18"/>
          <w:szCs w:val="18"/>
          <w:highlight w:val="none"/>
        </w:rPr>
        <w:t>填表人：</w:t>
      </w:r>
      <w:r>
        <w:rPr>
          <w:rFonts w:ascii="宋体" w:cs="宋体"/>
          <w:color w:val="auto"/>
          <w:sz w:val="18"/>
          <w:szCs w:val="18"/>
          <w:highlight w:val="none"/>
        </w:rPr>
        <w:t xml:space="preserve">        </w:t>
      </w:r>
      <w:r>
        <w:rPr>
          <w:rFonts w:hint="eastAsia" w:ascii="宋体" w:cs="宋体"/>
          <w:color w:val="auto"/>
          <w:sz w:val="18"/>
          <w:szCs w:val="18"/>
          <w:highlight w:val="none"/>
        </w:rPr>
        <w:t>联系电话：</w:t>
      </w:r>
      <w:r>
        <w:rPr>
          <w:rFonts w:ascii="宋体" w:cs="宋体"/>
          <w:color w:val="auto"/>
          <w:sz w:val="18"/>
          <w:szCs w:val="18"/>
          <w:highlight w:val="none"/>
        </w:rPr>
        <w:t xml:space="preserve">        </w:t>
      </w:r>
      <w:r>
        <w:rPr>
          <w:rFonts w:hint="eastAsia" w:ascii="宋体" w:cs="宋体"/>
          <w:color w:val="auto"/>
          <w:sz w:val="18"/>
          <w:szCs w:val="18"/>
          <w:highlight w:val="none"/>
        </w:rPr>
        <w:t>日期：</w:t>
      </w:r>
      <w:r>
        <w:rPr>
          <w:rFonts w:hint="eastAsia" w:ascii="宋体" w:cs="宋体"/>
          <w:color w:val="auto"/>
          <w:sz w:val="18"/>
          <w:szCs w:val="18"/>
          <w:highlight w:val="none"/>
          <w:lang w:eastAsia="zh-CN"/>
        </w:rPr>
        <w:t>20</w:t>
      </w:r>
      <w:r>
        <w:rPr>
          <w:rFonts w:ascii="宋体" w:cs="宋体"/>
          <w:color w:val="auto"/>
          <w:sz w:val="18"/>
          <w:szCs w:val="18"/>
          <w:highlight w:val="none"/>
        </w:rPr>
        <w:t xml:space="preserve">2   </w:t>
      </w:r>
      <w:r>
        <w:rPr>
          <w:rFonts w:hint="eastAsia" w:ascii="宋体" w:cs="宋体"/>
          <w:color w:val="auto"/>
          <w:sz w:val="18"/>
          <w:szCs w:val="18"/>
          <w:highlight w:val="none"/>
        </w:rPr>
        <w:t>年</w:t>
      </w:r>
      <w:r>
        <w:rPr>
          <w:rFonts w:ascii="宋体" w:cs="宋体"/>
          <w:color w:val="auto"/>
          <w:sz w:val="18"/>
          <w:szCs w:val="18"/>
          <w:highlight w:val="none"/>
        </w:rPr>
        <w:t xml:space="preserve">  </w:t>
      </w:r>
      <w:r>
        <w:rPr>
          <w:rFonts w:hint="eastAsia" w:ascii="宋体" w:cs="宋体"/>
          <w:color w:val="auto"/>
          <w:sz w:val="18"/>
          <w:szCs w:val="18"/>
          <w:highlight w:val="none"/>
        </w:rPr>
        <w:t>　月</w:t>
      </w:r>
      <w:r>
        <w:rPr>
          <w:rFonts w:ascii="宋体" w:cs="宋体"/>
          <w:color w:val="auto"/>
          <w:sz w:val="18"/>
          <w:szCs w:val="18"/>
          <w:highlight w:val="none"/>
        </w:rPr>
        <w:t xml:space="preserve"> </w:t>
      </w:r>
      <w:r>
        <w:rPr>
          <w:rFonts w:hint="eastAsia" w:ascii="宋体" w:cs="宋体"/>
          <w:color w:val="auto"/>
          <w:sz w:val="18"/>
          <w:szCs w:val="18"/>
          <w:highlight w:val="none"/>
        </w:rPr>
        <w:t>　</w:t>
      </w:r>
      <w:r>
        <w:rPr>
          <w:rFonts w:ascii="宋体" w:cs="宋体"/>
          <w:color w:val="auto"/>
          <w:sz w:val="18"/>
          <w:szCs w:val="18"/>
          <w:highlight w:val="none"/>
        </w:rPr>
        <w:t xml:space="preserve"> </w:t>
      </w:r>
      <w:r>
        <w:rPr>
          <w:rFonts w:hint="eastAsia" w:ascii="宋体" w:cs="宋体"/>
          <w:color w:val="auto"/>
          <w:sz w:val="18"/>
          <w:szCs w:val="18"/>
          <w:highlight w:val="none"/>
        </w:rPr>
        <w:t>日</w:t>
      </w:r>
    </w:p>
    <w:p>
      <w:pPr>
        <w:spacing w:line="240" w:lineRule="exact"/>
        <w:ind w:left="1435" w:leftChars="-68" w:hanging="1578" w:hangingChars="877"/>
        <w:rPr>
          <w:rFonts w:ascii="宋体" w:hAnsi="宋体" w:cs="宋体"/>
          <w:color w:val="auto"/>
          <w:sz w:val="18"/>
          <w:szCs w:val="18"/>
          <w:highlight w:val="none"/>
        </w:rPr>
      </w:pPr>
    </w:p>
    <w:p>
      <w:pPr>
        <w:widowControl/>
        <w:tabs>
          <w:tab w:val="left" w:pos="544"/>
        </w:tabs>
        <w:spacing w:line="240" w:lineRule="atLeast"/>
        <w:ind w:left="1620" w:hanging="1620" w:hangingChars="90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ascii="宋体" w:hAnsi="宋体" w:cs="宋体"/>
          <w:color w:val="auto"/>
          <w:kern w:val="0"/>
          <w:sz w:val="18"/>
          <w:szCs w:val="18"/>
          <w:highlight w:val="none"/>
        </w:rPr>
        <w:t>1.</w:t>
      </w:r>
      <w:r>
        <w:rPr>
          <w:rFonts w:hint="eastAsia" w:ascii="宋体" w:hAnsi="宋体" w:cs="宋体"/>
          <w:color w:val="auto"/>
          <w:kern w:val="0"/>
          <w:sz w:val="18"/>
          <w:szCs w:val="18"/>
          <w:highlight w:val="none"/>
        </w:rPr>
        <w:t>统计范围：</w:t>
      </w:r>
      <w:r>
        <w:rPr>
          <w:rFonts w:hint="eastAsia" w:ascii="宋体" w:hAnsi="宋体" w:cs="宋体"/>
          <w:color w:val="auto"/>
          <w:kern w:val="0"/>
          <w:sz w:val="18"/>
          <w:szCs w:val="18"/>
          <w:highlight w:val="none"/>
          <w:lang w:eastAsia="zh-CN"/>
        </w:rPr>
        <w:t>由省农业农村厅、省统计局、省工信厅、三亚崖州湾科技城共同研究确定的高新育种及服务产业调查单位</w:t>
      </w:r>
      <w:r>
        <w:rPr>
          <w:rFonts w:hint="eastAsia" w:ascii="宋体" w:hAnsi="宋体"/>
          <w:color w:val="auto"/>
          <w:sz w:val="18"/>
          <w:szCs w:val="18"/>
          <w:highlight w:val="none"/>
          <w:lang w:eastAsia="zh-CN"/>
        </w:rPr>
        <w:t>；</w:t>
      </w:r>
    </w:p>
    <w:p>
      <w:pPr>
        <w:widowControl/>
        <w:tabs>
          <w:tab w:val="left" w:pos="544"/>
        </w:tabs>
        <w:snapToGrid w:val="0"/>
        <w:spacing w:line="240" w:lineRule="atLeast"/>
        <w:ind w:firstLine="540" w:firstLineChars="300"/>
        <w:jc w:val="left"/>
        <w:rPr>
          <w:rFonts w:ascii="宋体" w:hAnsi="宋体" w:eastAsia="宋体" w:cs="宋体"/>
          <w:color w:val="auto"/>
          <w:kern w:val="0"/>
          <w:sz w:val="18"/>
          <w:szCs w:val="18"/>
          <w:highlight w:val="none"/>
        </w:rPr>
      </w:pP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填报</w:t>
      </w:r>
      <w:r>
        <w:rPr>
          <w:rFonts w:ascii="宋体" w:hAnsi="宋体" w:cs="宋体"/>
          <w:color w:val="auto"/>
          <w:kern w:val="0"/>
          <w:sz w:val="18"/>
          <w:szCs w:val="18"/>
          <w:highlight w:val="none"/>
        </w:rPr>
        <w:t>单位</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省统计局</w:t>
      </w:r>
      <w:r>
        <w:rPr>
          <w:rFonts w:hint="default" w:ascii="宋体" w:hAnsi="宋体" w:eastAsia="宋体" w:cs="宋体"/>
          <w:color w:val="auto"/>
          <w:kern w:val="0"/>
          <w:sz w:val="18"/>
          <w:szCs w:val="18"/>
          <w:highlight w:val="none"/>
        </w:rPr>
        <w:t>；</w:t>
      </w:r>
    </w:p>
    <w:p>
      <w:pPr>
        <w:widowControl/>
        <w:spacing w:line="240" w:lineRule="atLeast"/>
        <w:ind w:firstLine="540" w:firstLineChars="300"/>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3</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填报时间：</w:t>
      </w:r>
      <w:r>
        <w:rPr>
          <w:rFonts w:hint="eastAsia" w:ascii="宋体" w:hAnsi="宋体" w:cs="宋体"/>
          <w:color w:val="auto"/>
          <w:kern w:val="0"/>
          <w:sz w:val="18"/>
          <w:szCs w:val="18"/>
          <w:highlight w:val="none"/>
          <w:lang w:val="en-US" w:eastAsia="zh-CN"/>
        </w:rPr>
        <w:t>9</w:t>
      </w:r>
      <w:r>
        <w:rPr>
          <w:rFonts w:hint="eastAsia" w:ascii="宋体" w:hAnsi="宋体" w:cs="宋体"/>
          <w:color w:val="auto"/>
          <w:kern w:val="0"/>
          <w:sz w:val="18"/>
          <w:szCs w:val="18"/>
          <w:highlight w:val="none"/>
        </w:rPr>
        <w:t>月、次年</w:t>
      </w:r>
      <w:r>
        <w:rPr>
          <w:rFonts w:hint="eastAsia" w:ascii="宋体" w:hAnsi="宋体" w:cs="宋体"/>
          <w:color w:val="auto"/>
          <w:kern w:val="0"/>
          <w:sz w:val="18"/>
          <w:szCs w:val="18"/>
          <w:highlight w:val="none"/>
          <w:lang w:val="en-US" w:eastAsia="zh-CN"/>
        </w:rPr>
        <w:t>3</w:t>
      </w:r>
      <w:r>
        <w:rPr>
          <w:rFonts w:hint="eastAsia" w:ascii="宋体" w:hAnsi="宋体" w:cs="宋体"/>
          <w:color w:val="auto"/>
          <w:kern w:val="0"/>
          <w:sz w:val="18"/>
          <w:szCs w:val="18"/>
          <w:highlight w:val="none"/>
        </w:rPr>
        <w:t>月的</w:t>
      </w:r>
      <w:r>
        <w:rPr>
          <w:rFonts w:hint="eastAsia" w:ascii="宋体" w:hAnsi="宋体" w:cs="宋体"/>
          <w:color w:val="auto"/>
          <w:kern w:val="0"/>
          <w:sz w:val="18"/>
          <w:szCs w:val="18"/>
          <w:highlight w:val="none"/>
          <w:lang w:val="en-US" w:eastAsia="zh-CN"/>
        </w:rPr>
        <w:t>23</w:t>
      </w:r>
      <w:r>
        <w:rPr>
          <w:rFonts w:hint="eastAsia" w:ascii="宋体" w:hAnsi="宋体" w:cs="宋体"/>
          <w:color w:val="auto"/>
          <w:kern w:val="0"/>
          <w:sz w:val="18"/>
          <w:szCs w:val="18"/>
          <w:highlight w:val="none"/>
        </w:rPr>
        <w:t>日前报送至省工信厅</w:t>
      </w:r>
      <w:r>
        <w:rPr>
          <w:rFonts w:hint="eastAsia" w:ascii="宋体" w:hAnsi="宋体" w:cs="宋体"/>
          <w:color w:val="auto"/>
          <w:kern w:val="0"/>
          <w:sz w:val="18"/>
          <w:szCs w:val="18"/>
          <w:highlight w:val="none"/>
          <w:lang w:eastAsia="zh-CN"/>
        </w:rPr>
        <w:t>。</w:t>
      </w:r>
    </w:p>
    <w:p>
      <w:pPr>
        <w:widowControl/>
        <w:spacing w:line="240" w:lineRule="atLeast"/>
        <w:ind w:firstLine="540" w:firstLineChars="300"/>
        <w:jc w:val="left"/>
        <w:rPr>
          <w:rFonts w:hint="eastAsia" w:ascii="宋体"/>
          <w:color w:val="auto"/>
          <w:sz w:val="18"/>
          <w:highlight w:val="none"/>
        </w:rPr>
        <w:sectPr>
          <w:pgSz w:w="11850" w:h="16783"/>
          <w:pgMar w:top="1247" w:right="1247" w:bottom="1247" w:left="1247" w:header="851" w:footer="850"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cs="宋体"/>
          <w:color w:val="auto"/>
          <w:kern w:val="0"/>
          <w:sz w:val="18"/>
          <w:szCs w:val="18"/>
          <w:highlight w:val="none"/>
          <w:lang w:val="en-US" w:eastAsia="zh-CN"/>
        </w:rPr>
        <w:t>4</w:t>
      </w:r>
      <w:r>
        <w:rPr>
          <w:rFonts w:hint="eastAsia" w:ascii="宋体" w:hAnsi="宋体" w:cs="宋体"/>
          <w:color w:val="auto"/>
          <w:kern w:val="0"/>
          <w:sz w:val="18"/>
          <w:szCs w:val="18"/>
          <w:highlight w:val="none"/>
        </w:rPr>
        <w:t>.本表为不定长表，</w:t>
      </w:r>
      <w:r>
        <w:rPr>
          <w:rFonts w:hint="eastAsia" w:ascii="宋体"/>
          <w:color w:val="auto"/>
          <w:sz w:val="18"/>
          <w:highlight w:val="none"/>
        </w:rPr>
        <w:t>调查单位根据实际情况进行增减。</w:t>
      </w:r>
    </w:p>
    <w:p>
      <w:pPr>
        <w:widowControl/>
        <w:spacing w:line="240" w:lineRule="atLeast"/>
        <w:ind w:firstLine="540" w:firstLineChars="300"/>
        <w:jc w:val="left"/>
        <w:rPr>
          <w:rFonts w:hint="eastAsia" w:ascii="宋体"/>
          <w:color w:val="auto"/>
          <w:sz w:val="18"/>
          <w:highlight w:val="none"/>
        </w:rPr>
      </w:pPr>
    </w:p>
    <w:p>
      <w:pPr>
        <w:snapToGrid w:val="0"/>
        <w:spacing w:before="0" w:beforeLines="0" w:after="0" w:afterLines="0" w:line="560" w:lineRule="exact"/>
        <w:jc w:val="center"/>
        <w:outlineLvl w:val="1"/>
        <w:rPr>
          <w:rFonts w:hint="eastAsia" w:ascii="宋体" w:hAnsi="宋体"/>
          <w:color w:val="auto"/>
          <w:sz w:val="18"/>
          <w:szCs w:val="18"/>
          <w:highlight w:val="none"/>
        </w:rPr>
      </w:pPr>
      <w:bookmarkStart w:id="83" w:name="_Toc4870"/>
      <w:r>
        <w:rPr>
          <w:rFonts w:hint="eastAsia" w:ascii="宋体" w:hAnsi="宋体" w:cs="宋体"/>
          <w:color w:val="auto"/>
          <w:sz w:val="32"/>
          <w:szCs w:val="32"/>
          <w:highlight w:val="none"/>
        </w:rPr>
        <w:t>高新育种</w:t>
      </w:r>
      <w:r>
        <w:rPr>
          <w:rFonts w:hint="eastAsia" w:ascii="宋体" w:hAnsi="宋体" w:cs="宋体"/>
          <w:color w:val="auto"/>
          <w:sz w:val="32"/>
          <w:szCs w:val="32"/>
          <w:highlight w:val="none"/>
          <w:lang w:eastAsia="zh-CN"/>
        </w:rPr>
        <w:t>及服务</w:t>
      </w:r>
      <w:r>
        <w:rPr>
          <w:rFonts w:hint="eastAsia" w:ascii="宋体" w:hAnsi="宋体" w:cs="宋体"/>
          <w:color w:val="auto"/>
          <w:sz w:val="32"/>
          <w:szCs w:val="32"/>
          <w:highlight w:val="none"/>
        </w:rPr>
        <w:t>产业经营情况综合表</w:t>
      </w:r>
      <w:bookmarkEnd w:id="83"/>
    </w:p>
    <w:p>
      <w:pPr>
        <w:snapToGrid w:val="0"/>
        <w:spacing w:before="480" w:beforeLines="200" w:after="0" w:afterLines="0" w:line="240" w:lineRule="auto"/>
        <w:ind w:left="0" w:leftChars="0" w:firstLine="6300" w:firstLineChars="3500"/>
        <w:jc w:val="center"/>
        <w:outlineLvl w:val="9"/>
        <w:rPr>
          <w:rFonts w:ascii="宋体" w:hAnsi="宋体" w:cs="宋体"/>
          <w:color w:val="auto"/>
          <w:sz w:val="18"/>
          <w:szCs w:val="18"/>
          <w:highlight w:val="none"/>
        </w:rPr>
      </w:pPr>
      <w:r>
        <w:rPr>
          <w:rFonts w:hint="eastAsia" w:ascii="宋体" w:hAnsi="宋体"/>
          <w:color w:val="auto"/>
          <w:sz w:val="18"/>
          <w:szCs w:val="18"/>
          <w:highlight w:val="none"/>
        </w:rPr>
        <w:t>表    号：GC10</w:t>
      </w:r>
      <w:r>
        <w:rPr>
          <w:rFonts w:hint="eastAsia" w:ascii="宋体" w:hAnsi="宋体"/>
          <w:color w:val="auto"/>
          <w:sz w:val="18"/>
          <w:szCs w:val="18"/>
          <w:highlight w:val="none"/>
          <w:lang w:val="en-US" w:eastAsia="zh-CN"/>
        </w:rPr>
        <w:t>4</w:t>
      </w:r>
      <w:r>
        <w:rPr>
          <w:rFonts w:hint="eastAsia" w:ascii="宋体" w:hAnsi="宋体"/>
          <w:color w:val="auto"/>
          <w:sz w:val="18"/>
          <w:szCs w:val="18"/>
          <w:highlight w:val="none"/>
        </w:rPr>
        <w:t xml:space="preserve">表 </w:t>
      </w:r>
    </w:p>
    <w:p>
      <w:pPr>
        <w:spacing w:line="240" w:lineRule="exact"/>
        <w:ind w:left="0" w:leftChars="0" w:firstLine="6300" w:firstLineChars="3500"/>
        <w:jc w:val="center"/>
        <w:rPr>
          <w:rFonts w:ascii="宋体" w:hAnsi="宋体" w:cs="宋体"/>
          <w:color w:val="auto"/>
          <w:sz w:val="18"/>
          <w:szCs w:val="18"/>
          <w:highlight w:val="none"/>
        </w:rPr>
      </w:pPr>
      <w:r>
        <w:rPr>
          <w:rFonts w:hint="eastAsia" w:ascii="宋体" w:hAnsi="宋体"/>
          <w:color w:val="auto"/>
          <w:sz w:val="18"/>
          <w:szCs w:val="18"/>
          <w:highlight w:val="none"/>
          <w:lang w:val="en-US" w:eastAsia="zh-CN"/>
        </w:rPr>
        <w:t xml:space="preserve">            </w:t>
      </w:r>
      <w:r>
        <w:rPr>
          <w:rFonts w:hint="eastAsia" w:ascii="宋体" w:hAnsi="宋体"/>
          <w:color w:val="auto"/>
          <w:sz w:val="18"/>
          <w:szCs w:val="18"/>
          <w:highlight w:val="none"/>
        </w:rPr>
        <w:t>制定机关：海</w:t>
      </w:r>
      <w:r>
        <w:rPr>
          <w:rFonts w:ascii="宋体" w:hAnsi="宋体"/>
          <w:color w:val="auto"/>
          <w:sz w:val="18"/>
          <w:szCs w:val="18"/>
          <w:highlight w:val="none"/>
        </w:rPr>
        <w:t>南</w:t>
      </w:r>
      <w:r>
        <w:rPr>
          <w:rFonts w:hint="eastAsia" w:ascii="宋体" w:hAnsi="宋体"/>
          <w:color w:val="auto"/>
          <w:sz w:val="18"/>
          <w:szCs w:val="18"/>
          <w:highlight w:val="none"/>
        </w:rPr>
        <w:t>省</w:t>
      </w:r>
      <w:r>
        <w:rPr>
          <w:rFonts w:ascii="宋体" w:hAnsi="宋体"/>
          <w:color w:val="auto"/>
          <w:sz w:val="18"/>
          <w:szCs w:val="18"/>
          <w:highlight w:val="none"/>
        </w:rPr>
        <w:t>工业和信息化厅</w:t>
      </w:r>
    </w:p>
    <w:p>
      <w:pPr>
        <w:spacing w:line="240" w:lineRule="exact"/>
        <w:ind w:left="0" w:leftChars="0" w:firstLine="6300" w:firstLineChars="3500"/>
        <w:jc w:val="center"/>
        <w:rPr>
          <w:rFonts w:ascii="宋体" w:hAnsi="宋体" w:cs="宋体"/>
          <w:color w:val="auto"/>
          <w:sz w:val="18"/>
          <w:szCs w:val="18"/>
          <w:highlight w:val="none"/>
        </w:rPr>
      </w:pPr>
      <w:r>
        <w:rPr>
          <w:rFonts w:hint="eastAsia" w:ascii="宋体" w:hAnsi="宋体"/>
          <w:color w:val="auto"/>
          <w:sz w:val="18"/>
          <w:szCs w:val="18"/>
          <w:highlight w:val="none"/>
          <w:lang w:val="en-US" w:eastAsia="zh-CN"/>
        </w:rPr>
        <w:t xml:space="preserve">    </w:t>
      </w:r>
      <w:r>
        <w:rPr>
          <w:rFonts w:hint="eastAsia" w:ascii="宋体" w:hAnsi="宋体"/>
          <w:color w:val="auto"/>
          <w:sz w:val="18"/>
          <w:szCs w:val="18"/>
          <w:highlight w:val="none"/>
        </w:rPr>
        <w:t>批准机关：海南</w:t>
      </w:r>
      <w:r>
        <w:rPr>
          <w:rFonts w:ascii="宋体" w:hAnsi="宋体"/>
          <w:color w:val="auto"/>
          <w:sz w:val="18"/>
          <w:szCs w:val="18"/>
          <w:highlight w:val="none"/>
        </w:rPr>
        <w:t>省</w:t>
      </w:r>
      <w:r>
        <w:rPr>
          <w:rFonts w:hint="eastAsia" w:ascii="宋体" w:hAnsi="宋体"/>
          <w:color w:val="auto"/>
          <w:sz w:val="18"/>
          <w:szCs w:val="18"/>
          <w:highlight w:val="none"/>
        </w:rPr>
        <w:t>统计局</w:t>
      </w:r>
    </w:p>
    <w:p>
      <w:pPr>
        <w:spacing w:line="240" w:lineRule="exact"/>
        <w:ind w:left="0" w:leftChars="0" w:firstLine="6300" w:firstLineChars="3500"/>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 xml:space="preserve">        批准</w:t>
      </w:r>
      <w:r>
        <w:rPr>
          <w:rFonts w:hint="eastAsia" w:ascii="宋体" w:hAnsi="宋体"/>
          <w:color w:val="auto"/>
          <w:sz w:val="18"/>
          <w:szCs w:val="18"/>
          <w:highlight w:val="none"/>
        </w:rPr>
        <w:t>文号：</w:t>
      </w:r>
      <w:r>
        <w:rPr>
          <w:rFonts w:hint="eastAsia" w:ascii="宋体" w:hAnsi="宋体" w:eastAsia="宋体"/>
          <w:color w:val="auto"/>
          <w:sz w:val="18"/>
          <w:szCs w:val="18"/>
          <w:highlight w:val="none"/>
        </w:rPr>
        <w:t>琼统函〔</w:t>
      </w:r>
      <w:r>
        <w:rPr>
          <w:rFonts w:hint="default" w:ascii="宋体" w:hAnsi="宋体"/>
          <w:color w:val="auto"/>
          <w:sz w:val="18"/>
          <w:szCs w:val="18"/>
          <w:highlight w:val="none"/>
          <w:lang w:val="en-US"/>
        </w:rPr>
        <w:t>2026</w:t>
      </w:r>
      <w:r>
        <w:rPr>
          <w:rFonts w:hint="eastAsia" w:ascii="宋体" w:hAnsi="宋体" w:eastAsia="宋体"/>
          <w:color w:val="auto"/>
          <w:sz w:val="18"/>
          <w:szCs w:val="18"/>
          <w:highlight w:val="none"/>
        </w:rPr>
        <w:t>〕</w:t>
      </w:r>
      <w:r>
        <w:rPr>
          <w:rFonts w:hint="default" w:ascii="宋体" w:hAnsi="宋体"/>
          <w:color w:val="auto"/>
          <w:sz w:val="18"/>
          <w:szCs w:val="18"/>
          <w:highlight w:val="none"/>
          <w:lang w:val="en-US"/>
        </w:rPr>
        <w:t>3</w:t>
      </w:r>
      <w:r>
        <w:rPr>
          <w:rFonts w:hint="eastAsia" w:ascii="宋体" w:hAnsi="宋体" w:eastAsia="宋体"/>
          <w:color w:val="auto"/>
          <w:sz w:val="18"/>
          <w:szCs w:val="18"/>
          <w:highlight w:val="none"/>
        </w:rPr>
        <w:t>号</w:t>
      </w:r>
      <w:r>
        <w:rPr>
          <w:rFonts w:hint="eastAsia" w:ascii="宋体" w:hAnsi="宋体"/>
          <w:color w:val="auto"/>
          <w:sz w:val="18"/>
          <w:szCs w:val="18"/>
          <w:highlight w:val="none"/>
        </w:rPr>
        <w:t xml:space="preserve">  </w:t>
      </w:r>
    </w:p>
    <w:p>
      <w:pPr>
        <w:spacing w:line="240" w:lineRule="exact"/>
        <w:ind w:left="0" w:leftChars="0" w:firstLine="6300" w:firstLineChars="3500"/>
        <w:jc w:val="center"/>
        <w:rPr>
          <w:color w:val="auto"/>
          <w:sz w:val="18"/>
          <w:szCs w:val="18"/>
          <w:highlight w:val="none"/>
        </w:rPr>
      </w:pPr>
      <w:r>
        <w:rPr>
          <w:rFonts w:hint="eastAsia" w:ascii="宋体" w:hAnsi="宋体"/>
          <w:color w:val="auto"/>
          <w:sz w:val="18"/>
          <w:szCs w:val="18"/>
          <w:highlight w:val="none"/>
          <w:lang w:val="en-US" w:eastAsia="zh-CN"/>
        </w:rPr>
        <w:t xml:space="preserve">  </w:t>
      </w:r>
      <w:r>
        <w:rPr>
          <w:rFonts w:hint="eastAsia" w:ascii="宋体" w:hAnsi="宋体"/>
          <w:color w:val="auto"/>
          <w:sz w:val="18"/>
          <w:szCs w:val="18"/>
          <w:highlight w:val="none"/>
          <w:lang w:eastAsia="zh-CN"/>
        </w:rPr>
        <w:t>有效期</w:t>
      </w:r>
      <w:r>
        <w:rPr>
          <w:rFonts w:hint="eastAsia" w:ascii="宋体" w:hAnsi="宋体"/>
          <w:color w:val="auto"/>
          <w:sz w:val="18"/>
          <w:szCs w:val="18"/>
          <w:highlight w:val="none"/>
        </w:rPr>
        <w:t>至</w:t>
      </w:r>
      <w:r>
        <w:rPr>
          <w:rFonts w:hint="default" w:ascii="宋体" w:hAnsi="宋体"/>
          <w:color w:val="auto"/>
          <w:sz w:val="18"/>
          <w:szCs w:val="18"/>
          <w:highlight w:val="none"/>
        </w:rPr>
        <w:t>：202</w:t>
      </w:r>
      <w:r>
        <w:rPr>
          <w:rFonts w:hint="eastAsia" w:ascii="宋体" w:hAnsi="宋体"/>
          <w:color w:val="auto"/>
          <w:sz w:val="18"/>
          <w:szCs w:val="18"/>
          <w:highlight w:val="none"/>
          <w:lang w:val="en-US" w:eastAsia="zh-CN"/>
        </w:rPr>
        <w:t>9</w:t>
      </w:r>
      <w:r>
        <w:rPr>
          <w:rFonts w:hint="eastAsia" w:ascii="宋体" w:hAnsi="宋体" w:cs="宋体"/>
          <w:color w:val="auto"/>
          <w:sz w:val="18"/>
          <w:szCs w:val="18"/>
          <w:highlight w:val="none"/>
        </w:rPr>
        <w:t>年</w:t>
      </w:r>
      <w:r>
        <w:rPr>
          <w:rFonts w:hint="default" w:ascii="宋体" w:hAnsi="宋体" w:cs="宋体"/>
          <w:color w:val="auto"/>
          <w:sz w:val="18"/>
          <w:szCs w:val="18"/>
          <w:highlight w:val="none"/>
          <w:lang w:val="en-US"/>
        </w:rPr>
        <w:t>1</w:t>
      </w:r>
      <w:bookmarkStart w:id="132" w:name="_GoBack"/>
      <w:bookmarkEnd w:id="132"/>
      <w:r>
        <w:rPr>
          <w:color w:val="auto"/>
          <w:sz w:val="18"/>
          <w:szCs w:val="18"/>
          <w:highlight w:val="none"/>
        </w:rPr>
        <w:t>月</w:t>
      </w:r>
    </w:p>
    <w:p>
      <w:pPr>
        <w:spacing w:line="240" w:lineRule="exact"/>
        <w:ind w:left="0" w:leftChars="0" w:firstLine="180" w:firstLineChars="100"/>
        <w:jc w:val="both"/>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rPr>
        <w:t>综合</w:t>
      </w:r>
      <w:r>
        <w:rPr>
          <w:rFonts w:ascii="宋体" w:hAnsi="宋体" w:cs="宋体"/>
          <w:color w:val="auto"/>
          <w:sz w:val="18"/>
          <w:szCs w:val="18"/>
          <w:highlight w:val="none"/>
        </w:rPr>
        <w:t>机关</w:t>
      </w:r>
      <w:r>
        <w:rPr>
          <w:rFonts w:hint="eastAsia" w:ascii="宋体" w:hAnsi="宋体" w:cs="宋体"/>
          <w:color w:val="auto"/>
          <w:sz w:val="18"/>
          <w:szCs w:val="18"/>
          <w:highlight w:val="none"/>
        </w:rPr>
        <w:t xml:space="preserve">名称：         </w:t>
      </w:r>
      <w:r>
        <w:rPr>
          <w:rFonts w:hint="eastAsia" w:ascii="宋体" w:hAnsi="宋体" w:cs="宋体"/>
          <w:color w:val="auto"/>
          <w:sz w:val="18"/>
          <w:szCs w:val="18"/>
          <w:highlight w:val="none"/>
          <w:lang w:val="en-US" w:eastAsia="zh-CN"/>
        </w:rPr>
        <w:t xml:space="preserve">                                            </w:t>
      </w:r>
    </w:p>
    <w:p>
      <w:pPr>
        <w:spacing w:line="240" w:lineRule="exact"/>
        <w:ind w:left="0" w:leftChars="0" w:firstLine="180" w:firstLineChars="100"/>
        <w:jc w:val="center"/>
        <w:rPr>
          <w:rFonts w:hint="eastAsia" w:ascii="宋体" w:hAnsi="宋体" w:cs="宋体"/>
          <w:color w:val="auto"/>
          <w:sz w:val="18"/>
          <w:szCs w:val="18"/>
          <w:highlight w:val="none"/>
        </w:rPr>
      </w:pPr>
      <w:r>
        <w:rPr>
          <w:rFonts w:hint="eastAsia" w:ascii="等线" w:hAnsi="等线" w:eastAsia="等线" w:cs="宋体"/>
          <w:b/>
          <w:bCs/>
          <w:color w:val="auto"/>
          <w:kern w:val="0"/>
          <w:sz w:val="18"/>
          <w:szCs w:val="18"/>
          <w:highlight w:val="none"/>
        </w:rPr>
        <w:t>20</w:t>
      </w:r>
      <w:r>
        <w:rPr>
          <w:rFonts w:hint="eastAsia" w:ascii="等线" w:hAnsi="等线" w:eastAsia="等线" w:cs="宋体"/>
          <w:b/>
          <w:bCs/>
          <w:color w:val="auto"/>
          <w:kern w:val="0"/>
          <w:sz w:val="18"/>
          <w:szCs w:val="18"/>
          <w:highlight w:val="none"/>
          <w:lang w:val="en-US" w:eastAsia="zh-CN"/>
        </w:rPr>
        <w:t>2</w:t>
      </w:r>
      <w:r>
        <w:rPr>
          <w:rFonts w:hint="eastAsia" w:ascii="等线" w:hAnsi="等线" w:eastAsia="等线" w:cs="宋体"/>
          <w:b/>
          <w:bCs/>
          <w:color w:val="auto"/>
          <w:kern w:val="0"/>
          <w:sz w:val="18"/>
          <w:szCs w:val="18"/>
          <w:highlight w:val="none"/>
        </w:rPr>
        <w:t xml:space="preserve">  年</w:t>
      </w:r>
      <w:r>
        <w:rPr>
          <w:rFonts w:hint="eastAsia" w:ascii="宋体" w:hAnsi="宋体"/>
          <w:color w:val="auto"/>
          <w:sz w:val="18"/>
          <w:szCs w:val="18"/>
          <w:highlight w:val="none"/>
          <w:lang w:val="en-US" w:eastAsia="zh-CN"/>
        </w:rPr>
        <w:t>1-   月</w:t>
      </w:r>
    </w:p>
    <w:p>
      <w:pPr>
        <w:snapToGrid w:val="0"/>
        <w:spacing w:line="40" w:lineRule="exact"/>
        <w:rPr>
          <w:vanish/>
          <w:color w:val="auto"/>
          <w:highlight w:val="none"/>
        </w:rPr>
      </w:pPr>
    </w:p>
    <w:tbl>
      <w:tblPr>
        <w:tblStyle w:val="16"/>
        <w:tblW w:w="49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49"/>
        <w:gridCol w:w="750"/>
        <w:gridCol w:w="808"/>
        <w:gridCol w:w="928"/>
        <w:gridCol w:w="928"/>
        <w:gridCol w:w="928"/>
        <w:gridCol w:w="928"/>
        <w:gridCol w:w="928"/>
        <w:gridCol w:w="928"/>
        <w:gridCol w:w="928"/>
        <w:gridCol w:w="928"/>
        <w:gridCol w:w="928"/>
        <w:gridCol w:w="928"/>
        <w:gridCol w:w="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61" w:type="pct"/>
            <w:vMerge w:val="restart"/>
            <w:tcBorders>
              <w:top w:val="single" w:color="000000" w:sz="4" w:space="0"/>
              <w:left w:val="nil"/>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263" w:type="pct"/>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lang w:eastAsia="zh-CN"/>
              </w:rPr>
            </w:pPr>
            <w:r>
              <w:rPr>
                <w:rFonts w:hint="eastAsia" w:ascii="宋体" w:hAnsi="宋体" w:cs="宋体"/>
                <w:b/>
                <w:bCs/>
                <w:i w:val="0"/>
                <w:iCs w:val="0"/>
                <w:color w:val="auto"/>
                <w:sz w:val="22"/>
                <w:szCs w:val="22"/>
                <w:highlight w:val="none"/>
                <w:u w:val="none"/>
                <w:lang w:eastAsia="zh-CN"/>
              </w:rPr>
              <w:t>企业数量</w:t>
            </w:r>
          </w:p>
        </w:tc>
        <w:tc>
          <w:tcPr>
            <w:tcW w:w="936"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营业收入</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ab/>
            </w:r>
          </w:p>
        </w:tc>
        <w:tc>
          <w:tcPr>
            <w:tcW w:w="97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利润总额</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c>
          <w:tcPr>
            <w:tcW w:w="979"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应交增值税</w:t>
            </w:r>
            <w:r>
              <w:rPr>
                <w:rFonts w:hint="eastAsia" w:ascii="宋体" w:hAnsi="宋体"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千元</w:t>
            </w:r>
            <w:r>
              <w:rPr>
                <w:rFonts w:hint="eastAsia" w:ascii="宋体" w:hAnsi="宋体" w:cs="宋体"/>
                <w:b/>
                <w:bCs/>
                <w:i w:val="0"/>
                <w:iCs w:val="0"/>
                <w:color w:val="auto"/>
                <w:kern w:val="0"/>
                <w:sz w:val="22"/>
                <w:szCs w:val="22"/>
                <w:highlight w:val="none"/>
                <w:u w:val="none"/>
                <w:lang w:val="en-US" w:eastAsia="zh-CN" w:bidi="ar"/>
              </w:rPr>
              <w:t>）</w:t>
            </w:r>
          </w:p>
        </w:tc>
        <w:tc>
          <w:tcPr>
            <w:tcW w:w="980" w:type="pct"/>
            <w:gridSpan w:val="3"/>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从业人员平均人数（人）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861"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上年</w:t>
            </w:r>
          </w:p>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上年</w:t>
            </w:r>
          </w:p>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上年</w:t>
            </w:r>
          </w:p>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同期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增速%</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1-本月</w:t>
            </w: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上年</w:t>
            </w:r>
          </w:p>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同期</w:t>
            </w: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6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b/>
                <w:bCs/>
                <w:i w:val="0"/>
                <w:iCs w:val="0"/>
                <w:color w:val="auto"/>
                <w:kern w:val="2"/>
                <w:sz w:val="20"/>
                <w:szCs w:val="20"/>
                <w:highlight w:val="none"/>
                <w:u w:val="none"/>
                <w:lang w:val="en-US" w:eastAsia="zh-CN" w:bidi="ar-SA"/>
              </w:rPr>
            </w:pPr>
            <w:r>
              <w:rPr>
                <w:rFonts w:hint="eastAsia" w:ascii="宋体" w:hAnsi="宋体" w:cs="宋体"/>
                <w:b/>
                <w:bCs/>
                <w:i w:val="0"/>
                <w:iCs w:val="0"/>
                <w:color w:val="auto"/>
                <w:kern w:val="0"/>
                <w:sz w:val="20"/>
                <w:szCs w:val="20"/>
                <w:highlight w:val="none"/>
                <w:u w:val="none"/>
                <w:lang w:val="en-US" w:eastAsia="zh-CN" w:bidi="ar"/>
              </w:rPr>
              <w:t>高新育种及服务产</w:t>
            </w:r>
            <w:r>
              <w:rPr>
                <w:rFonts w:hint="eastAsia" w:ascii="宋体" w:hAnsi="宋体" w:eastAsia="宋体" w:cs="宋体"/>
                <w:b/>
                <w:bCs/>
                <w:i w:val="0"/>
                <w:iCs w:val="0"/>
                <w:color w:val="auto"/>
                <w:kern w:val="0"/>
                <w:sz w:val="20"/>
                <w:szCs w:val="20"/>
                <w:highlight w:val="none"/>
                <w:u w:val="none"/>
                <w:lang w:val="en-US" w:eastAsia="zh-CN" w:bidi="ar"/>
              </w:rPr>
              <w:t>业合计</w:t>
            </w: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86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 xml:space="preserve"> 其中：“四上”调查单位</w:t>
            </w: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61"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ind w:firstLine="803" w:firstLineChars="400"/>
              <w:jc w:val="left"/>
              <w:textAlignment w:val="center"/>
              <w:rPr>
                <w:rFonts w:hint="default" w:ascii="宋体" w:hAnsi="宋体" w:eastAsia="宋体" w:cs="宋体"/>
                <w:b/>
                <w:bCs/>
                <w:i w:val="0"/>
                <w:iCs w:val="0"/>
                <w:color w:val="auto"/>
                <w:sz w:val="20"/>
                <w:szCs w:val="20"/>
                <w:highlight w:val="none"/>
                <w:u w:val="none"/>
                <w:lang w:val="en-US" w:eastAsia="zh-CN"/>
              </w:rPr>
            </w:pPr>
            <w:r>
              <w:rPr>
                <w:rFonts w:hint="eastAsia" w:ascii="宋体" w:hAnsi="宋体" w:eastAsia="宋体" w:cs="宋体"/>
                <w:b/>
                <w:bCs/>
                <w:i w:val="0"/>
                <w:iCs w:val="0"/>
                <w:color w:val="auto"/>
                <w:sz w:val="20"/>
                <w:szCs w:val="20"/>
                <w:highlight w:val="none"/>
                <w:u w:val="none"/>
                <w:lang w:val="en-US" w:eastAsia="zh-CN"/>
              </w:rPr>
              <w:t>其他调查单位</w:t>
            </w: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2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327" w:type="pc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r>
    </w:tbl>
    <w:p>
      <w:pPr>
        <w:adjustRightInd w:val="0"/>
        <w:spacing w:line="240" w:lineRule="exact"/>
        <w:rPr>
          <w:rFonts w:ascii="宋体"/>
          <w:color w:val="auto"/>
          <w:sz w:val="18"/>
          <w:szCs w:val="18"/>
          <w:highlight w:val="none"/>
        </w:rPr>
      </w:pPr>
      <w:r>
        <w:rPr>
          <w:rFonts w:hint="eastAsia" w:ascii="宋体" w:cs="宋体"/>
          <w:color w:val="auto"/>
          <w:sz w:val="18"/>
          <w:szCs w:val="18"/>
          <w:highlight w:val="none"/>
        </w:rPr>
        <w:t>单位负责人：</w:t>
      </w:r>
      <w:r>
        <w:rPr>
          <w:rFonts w:ascii="宋体" w:cs="宋体"/>
          <w:color w:val="auto"/>
          <w:sz w:val="18"/>
          <w:szCs w:val="18"/>
          <w:highlight w:val="none"/>
        </w:rPr>
        <w:t xml:space="preserve">        </w:t>
      </w:r>
      <w:r>
        <w:rPr>
          <w:rFonts w:hint="eastAsia" w:ascii="宋体" w:cs="宋体"/>
          <w:color w:val="auto"/>
          <w:sz w:val="18"/>
          <w:szCs w:val="18"/>
          <w:highlight w:val="none"/>
        </w:rPr>
        <w:t>统计负责人：</w:t>
      </w:r>
      <w:r>
        <w:rPr>
          <w:rFonts w:ascii="宋体" w:cs="宋体"/>
          <w:color w:val="auto"/>
          <w:sz w:val="18"/>
          <w:szCs w:val="18"/>
          <w:highlight w:val="none"/>
        </w:rPr>
        <w:t xml:space="preserve">        </w:t>
      </w:r>
      <w:r>
        <w:rPr>
          <w:rFonts w:hint="eastAsia" w:ascii="宋体" w:cs="宋体"/>
          <w:color w:val="auto"/>
          <w:sz w:val="18"/>
          <w:szCs w:val="18"/>
          <w:highlight w:val="none"/>
        </w:rPr>
        <w:t>填表人：</w:t>
      </w:r>
      <w:r>
        <w:rPr>
          <w:rFonts w:ascii="宋体" w:cs="宋体"/>
          <w:color w:val="auto"/>
          <w:sz w:val="18"/>
          <w:szCs w:val="18"/>
          <w:highlight w:val="none"/>
        </w:rPr>
        <w:t xml:space="preserve">        </w:t>
      </w:r>
      <w:r>
        <w:rPr>
          <w:rFonts w:hint="eastAsia" w:ascii="宋体" w:cs="宋体"/>
          <w:color w:val="auto"/>
          <w:sz w:val="18"/>
          <w:szCs w:val="18"/>
          <w:highlight w:val="none"/>
        </w:rPr>
        <w:t>联系电话：</w:t>
      </w:r>
      <w:r>
        <w:rPr>
          <w:rFonts w:ascii="宋体" w:cs="宋体"/>
          <w:color w:val="auto"/>
          <w:sz w:val="18"/>
          <w:szCs w:val="18"/>
          <w:highlight w:val="none"/>
        </w:rPr>
        <w:t xml:space="preserve">        </w:t>
      </w:r>
      <w:r>
        <w:rPr>
          <w:rFonts w:hint="eastAsia" w:ascii="宋体" w:cs="宋体"/>
          <w:color w:val="auto"/>
          <w:sz w:val="18"/>
          <w:szCs w:val="18"/>
          <w:highlight w:val="none"/>
        </w:rPr>
        <w:t>日期：</w:t>
      </w:r>
      <w:r>
        <w:rPr>
          <w:rFonts w:hint="eastAsia" w:ascii="宋体" w:cs="宋体"/>
          <w:color w:val="auto"/>
          <w:sz w:val="18"/>
          <w:szCs w:val="18"/>
          <w:highlight w:val="none"/>
          <w:lang w:eastAsia="zh-CN"/>
        </w:rPr>
        <w:t>20</w:t>
      </w:r>
      <w:r>
        <w:rPr>
          <w:rFonts w:ascii="宋体" w:cs="宋体"/>
          <w:color w:val="auto"/>
          <w:sz w:val="18"/>
          <w:szCs w:val="18"/>
          <w:highlight w:val="none"/>
        </w:rPr>
        <w:t xml:space="preserve">2   </w:t>
      </w:r>
      <w:r>
        <w:rPr>
          <w:rFonts w:hint="eastAsia" w:ascii="宋体" w:cs="宋体"/>
          <w:color w:val="auto"/>
          <w:sz w:val="18"/>
          <w:szCs w:val="18"/>
          <w:highlight w:val="none"/>
        </w:rPr>
        <w:t>年</w:t>
      </w:r>
      <w:r>
        <w:rPr>
          <w:rFonts w:ascii="宋体" w:cs="宋体"/>
          <w:color w:val="auto"/>
          <w:sz w:val="18"/>
          <w:szCs w:val="18"/>
          <w:highlight w:val="none"/>
        </w:rPr>
        <w:t xml:space="preserve">  </w:t>
      </w:r>
      <w:r>
        <w:rPr>
          <w:rFonts w:hint="eastAsia" w:ascii="宋体" w:cs="宋体"/>
          <w:color w:val="auto"/>
          <w:sz w:val="18"/>
          <w:szCs w:val="18"/>
          <w:highlight w:val="none"/>
        </w:rPr>
        <w:t>　月</w:t>
      </w:r>
      <w:r>
        <w:rPr>
          <w:rFonts w:ascii="宋体" w:cs="宋体"/>
          <w:color w:val="auto"/>
          <w:sz w:val="18"/>
          <w:szCs w:val="18"/>
          <w:highlight w:val="none"/>
        </w:rPr>
        <w:t xml:space="preserve"> </w:t>
      </w:r>
      <w:r>
        <w:rPr>
          <w:rFonts w:hint="eastAsia" w:ascii="宋体" w:cs="宋体"/>
          <w:color w:val="auto"/>
          <w:sz w:val="18"/>
          <w:szCs w:val="18"/>
          <w:highlight w:val="none"/>
        </w:rPr>
        <w:t>　</w:t>
      </w:r>
      <w:r>
        <w:rPr>
          <w:rFonts w:ascii="宋体" w:cs="宋体"/>
          <w:color w:val="auto"/>
          <w:sz w:val="18"/>
          <w:szCs w:val="18"/>
          <w:highlight w:val="none"/>
        </w:rPr>
        <w:t xml:space="preserve"> </w:t>
      </w:r>
      <w:r>
        <w:rPr>
          <w:rFonts w:hint="eastAsia" w:ascii="宋体" w:cs="宋体"/>
          <w:color w:val="auto"/>
          <w:sz w:val="18"/>
          <w:szCs w:val="18"/>
          <w:highlight w:val="none"/>
        </w:rPr>
        <w:t>日</w:t>
      </w:r>
    </w:p>
    <w:p>
      <w:pPr>
        <w:widowControl/>
        <w:tabs>
          <w:tab w:val="left" w:pos="544"/>
        </w:tabs>
        <w:spacing w:line="240" w:lineRule="atLeast"/>
        <w:ind w:left="0" w:hanging="2163" w:hangingChars="1202"/>
        <w:jc w:val="left"/>
        <w:rPr>
          <w:rFonts w:hint="eastAsia" w:ascii="宋体" w:hAnsi="宋体" w:cs="宋体"/>
          <w:color w:val="auto"/>
          <w:kern w:val="0"/>
          <w:sz w:val="18"/>
          <w:szCs w:val="18"/>
          <w:highlight w:val="none"/>
        </w:rPr>
      </w:pPr>
    </w:p>
    <w:p>
      <w:pPr>
        <w:widowControl/>
        <w:tabs>
          <w:tab w:val="left" w:pos="544"/>
        </w:tabs>
        <w:spacing w:line="240" w:lineRule="atLeast"/>
        <w:ind w:left="0" w:hanging="2163" w:hangingChars="1202"/>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ascii="宋体" w:hAnsi="宋体" w:cs="宋体"/>
          <w:color w:val="auto"/>
          <w:kern w:val="0"/>
          <w:sz w:val="18"/>
          <w:szCs w:val="18"/>
          <w:highlight w:val="none"/>
        </w:rPr>
        <w:t>1.</w:t>
      </w:r>
      <w:r>
        <w:rPr>
          <w:rFonts w:hint="eastAsia" w:ascii="宋体" w:hAnsi="宋体" w:cs="宋体"/>
          <w:color w:val="auto"/>
          <w:kern w:val="0"/>
          <w:sz w:val="18"/>
          <w:szCs w:val="18"/>
          <w:highlight w:val="none"/>
        </w:rPr>
        <w:t>统计范围：</w:t>
      </w:r>
      <w:r>
        <w:rPr>
          <w:rFonts w:hint="eastAsia" w:ascii="宋体" w:hAnsi="宋体"/>
          <w:color w:val="auto"/>
          <w:sz w:val="18"/>
          <w:szCs w:val="18"/>
          <w:highlight w:val="none"/>
        </w:rPr>
        <w:t>辖区内高新育种及服务产业调查单位名录</w:t>
      </w:r>
      <w:r>
        <w:rPr>
          <w:rFonts w:hint="eastAsia" w:ascii="宋体" w:hAnsi="宋体"/>
          <w:color w:val="auto"/>
          <w:sz w:val="18"/>
          <w:szCs w:val="18"/>
          <w:highlight w:val="none"/>
          <w:lang w:eastAsia="zh-CN"/>
        </w:rPr>
        <w:t>中的</w:t>
      </w:r>
      <w:r>
        <w:rPr>
          <w:rFonts w:hint="eastAsia" w:ascii="宋体" w:hAnsi="宋体" w:cs="宋体"/>
          <w:color w:val="auto"/>
          <w:kern w:val="0"/>
          <w:sz w:val="18"/>
          <w:szCs w:val="18"/>
          <w:highlight w:val="none"/>
          <w:lang w:eastAsia="zh-CN"/>
        </w:rPr>
        <w:t>调查单位</w:t>
      </w:r>
      <w:r>
        <w:rPr>
          <w:rFonts w:hint="eastAsia" w:ascii="宋体" w:hAnsi="宋体"/>
          <w:color w:val="auto"/>
          <w:sz w:val="18"/>
          <w:szCs w:val="18"/>
          <w:highlight w:val="none"/>
          <w:lang w:eastAsia="zh-CN"/>
        </w:rPr>
        <w:t>；</w:t>
      </w:r>
    </w:p>
    <w:p>
      <w:pPr>
        <w:widowControl/>
        <w:tabs>
          <w:tab w:val="left" w:pos="544"/>
        </w:tabs>
        <w:snapToGrid w:val="0"/>
        <w:spacing w:line="240" w:lineRule="atLeast"/>
        <w:ind w:left="0" w:leftChars="0" w:firstLine="540" w:firstLineChars="300"/>
        <w:jc w:val="left"/>
        <w:rPr>
          <w:rFonts w:ascii="宋体" w:hAnsi="宋体" w:eastAsia="宋体" w:cs="宋体"/>
          <w:color w:val="auto"/>
          <w:kern w:val="0"/>
          <w:sz w:val="18"/>
          <w:szCs w:val="18"/>
          <w:highlight w:val="none"/>
        </w:rPr>
      </w:pP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填报</w:t>
      </w:r>
      <w:r>
        <w:rPr>
          <w:rFonts w:ascii="宋体" w:hAnsi="宋体" w:cs="宋体"/>
          <w:color w:val="auto"/>
          <w:kern w:val="0"/>
          <w:sz w:val="18"/>
          <w:szCs w:val="18"/>
          <w:highlight w:val="none"/>
        </w:rPr>
        <w:t>单位</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本表由省统计局和三亚崖州湾科技城报送，省统计局报送</w:t>
      </w:r>
      <w:r>
        <w:rPr>
          <w:rFonts w:hint="eastAsia" w:ascii="宋体" w:hAnsi="宋体" w:cs="宋体"/>
          <w:color w:val="auto"/>
          <w:kern w:val="0"/>
          <w:sz w:val="18"/>
          <w:szCs w:val="18"/>
          <w:highlight w:val="none"/>
          <w:lang w:val="en-US" w:eastAsia="zh-CN"/>
        </w:rPr>
        <w:t>高新育种及服务产业调查单位名录中在库</w:t>
      </w:r>
      <w:r>
        <w:rPr>
          <w:rFonts w:hint="eastAsia" w:ascii="宋体" w:hAnsi="宋体" w:cs="宋体"/>
          <w:color w:val="auto"/>
          <w:kern w:val="0"/>
          <w:sz w:val="18"/>
          <w:szCs w:val="18"/>
          <w:highlight w:val="none"/>
          <w:lang w:eastAsia="zh-CN"/>
        </w:rPr>
        <w:t>“四上”企业经营情况，其他由三亚崖州湾科技城报送；</w:t>
      </w:r>
    </w:p>
    <w:p>
      <w:pPr>
        <w:widowControl/>
        <w:spacing w:line="240" w:lineRule="atLeast"/>
        <w:ind w:left="542" w:leftChars="258"/>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3</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填报时间：</w:t>
      </w:r>
      <w:r>
        <w:rPr>
          <w:rFonts w:hint="eastAsia" w:ascii="宋体" w:hAnsi="宋体" w:cs="宋体"/>
          <w:color w:val="auto"/>
          <w:kern w:val="0"/>
          <w:sz w:val="18"/>
          <w:szCs w:val="18"/>
          <w:highlight w:val="none"/>
        </w:rPr>
        <w:t>季后23日（即4月、7月、10月和次年1月）前报送至省工信厅</w:t>
      </w:r>
      <w:r>
        <w:rPr>
          <w:rFonts w:hint="eastAsia" w:ascii="宋体" w:hAnsi="宋体" w:cs="宋体"/>
          <w:color w:val="auto"/>
          <w:kern w:val="0"/>
          <w:sz w:val="18"/>
          <w:szCs w:val="18"/>
          <w:highlight w:val="none"/>
          <w:lang w:eastAsia="zh-CN"/>
        </w:rPr>
        <w:t>。</w:t>
      </w:r>
    </w:p>
    <w:p>
      <w:pPr>
        <w:widowControl/>
        <w:spacing w:line="240" w:lineRule="atLeast"/>
        <w:ind w:left="542" w:leftChars="258"/>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4.</w:t>
      </w:r>
      <w:r>
        <w:rPr>
          <w:rFonts w:hint="eastAsia" w:ascii="宋体" w:hAnsi="宋体" w:cs="宋体"/>
          <w:color w:val="auto"/>
          <w:kern w:val="0"/>
          <w:sz w:val="18"/>
          <w:szCs w:val="18"/>
          <w:highlight w:val="none"/>
        </w:rPr>
        <w:t>审核关系</w:t>
      </w:r>
      <w:r>
        <w:rPr>
          <w:rFonts w:hint="eastAsia" w:ascii="宋体" w:hAnsi="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1）</w:t>
      </w:r>
      <w:r>
        <w:rPr>
          <w:rFonts w:hint="eastAsia" w:ascii="宋体" w:hAnsi="宋体" w:eastAsia="宋体" w:cs="宋体"/>
          <w:color w:val="auto"/>
          <w:kern w:val="0"/>
          <w:sz w:val="18"/>
          <w:szCs w:val="18"/>
          <w:highlight w:val="none"/>
        </w:rPr>
        <w:t>高新技术产业各产业数据等于该产业下所有高新技术产业行业小类数据之和</w:t>
      </w:r>
      <w:r>
        <w:rPr>
          <w:rFonts w:hint="eastAsia" w:ascii="宋体" w:hAnsi="宋体" w:eastAsia="宋体" w:cs="宋体"/>
          <w:color w:val="auto"/>
          <w:kern w:val="0"/>
          <w:sz w:val="18"/>
          <w:szCs w:val="18"/>
          <w:highlight w:val="none"/>
          <w:lang w:eastAsia="zh-CN"/>
        </w:rPr>
        <w:t>；</w:t>
      </w:r>
    </w:p>
    <w:p>
      <w:pPr>
        <w:widowControl/>
        <w:spacing w:line="240" w:lineRule="atLeast"/>
        <w:ind w:left="542" w:leftChars="258"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lang w:eastAsia="zh-CN"/>
        </w:rPr>
        <w:t>）如部分行业分属不同产业</w:t>
      </w:r>
      <w:r>
        <w:rPr>
          <w:rFonts w:hint="eastAsia" w:ascii="宋体" w:hAnsi="宋体" w:eastAsia="宋体" w:cs="宋体"/>
          <w:color w:val="auto"/>
          <w:kern w:val="0"/>
          <w:sz w:val="18"/>
          <w:szCs w:val="18"/>
          <w:highlight w:val="none"/>
          <w:lang w:val="en-US" w:eastAsia="zh-CN"/>
        </w:rPr>
        <w:t>时</w:t>
      </w:r>
      <w:r>
        <w:rPr>
          <w:rFonts w:hint="eastAsia" w:ascii="宋体" w:hAnsi="宋体" w:eastAsia="宋体" w:cs="宋体"/>
          <w:color w:val="auto"/>
          <w:kern w:val="0"/>
          <w:sz w:val="18"/>
          <w:szCs w:val="18"/>
          <w:highlight w:val="none"/>
          <w:lang w:eastAsia="zh-CN"/>
        </w:rPr>
        <w:t>，合计时会剔重计算；</w:t>
      </w:r>
    </w:p>
    <w:p>
      <w:pPr>
        <w:widowControl/>
        <w:spacing w:line="240" w:lineRule="atLeast"/>
        <w:ind w:left="542" w:leftChars="258" w:firstLine="0" w:firstLineChars="0"/>
        <w:jc w:val="left"/>
        <w:rPr>
          <w:rFonts w:hint="eastAsia" w:ascii="宋体" w:cs="宋体"/>
          <w:color w:val="auto"/>
          <w:kern w:val="0"/>
          <w:sz w:val="18"/>
          <w:szCs w:val="18"/>
          <w:highlight w:val="none"/>
          <w:lang w:val="en-US" w:eastAsia="zh-CN"/>
        </w:rPr>
        <w:sectPr>
          <w:pgSz w:w="16783" w:h="11850" w:orient="landscape"/>
          <w:pgMar w:top="1247" w:right="1247" w:bottom="1247" w:left="1247" w:header="851" w:footer="850"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cs="宋体"/>
          <w:color w:val="auto"/>
          <w:kern w:val="0"/>
          <w:sz w:val="18"/>
          <w:szCs w:val="18"/>
          <w:highlight w:val="none"/>
          <w:lang w:val="en-US" w:eastAsia="zh-CN"/>
        </w:rPr>
        <w:t>5.其他：本表价值量和增长速度均为现行价格计算。</w:t>
      </w:r>
    </w:p>
    <w:bookmarkEnd w:id="75"/>
    <w:bookmarkEnd w:id="76"/>
    <w:bookmarkEnd w:id="77"/>
    <w:bookmarkEnd w:id="78"/>
    <w:bookmarkEnd w:id="79"/>
    <w:bookmarkEnd w:id="80"/>
    <w:p>
      <w:pPr>
        <w:keepNext w:val="0"/>
        <w:keepLines w:val="0"/>
        <w:pageBreakBefore w:val="0"/>
        <w:widowControl w:val="0"/>
        <w:tabs>
          <w:tab w:val="right" w:leader="middleDot" w:pos="9421"/>
        </w:tabs>
        <w:kinsoku/>
        <w:wordWrap/>
        <w:overflowPunct/>
        <w:topLinePunct w:val="0"/>
        <w:autoSpaceDE/>
        <w:autoSpaceDN/>
        <w:bidi w:val="0"/>
        <w:adjustRightInd/>
        <w:snapToGrid w:val="0"/>
        <w:spacing w:after="240" w:afterLines="100" w:line="480" w:lineRule="exact"/>
        <w:jc w:val="center"/>
        <w:textAlignment w:val="auto"/>
        <w:outlineLvl w:val="0"/>
        <w:rPr>
          <w:rFonts w:ascii="黑体" w:eastAsia="黑体"/>
          <w:color w:val="auto"/>
          <w:sz w:val="32"/>
          <w:szCs w:val="32"/>
          <w:highlight w:val="none"/>
        </w:rPr>
      </w:pPr>
      <w:bookmarkStart w:id="84" w:name="_Toc4470"/>
      <w:bookmarkStart w:id="85" w:name="_Toc24082"/>
      <w:bookmarkStart w:id="86" w:name="_Toc17365"/>
      <w:bookmarkStart w:id="87" w:name="_Toc28207"/>
      <w:bookmarkStart w:id="88" w:name="_Toc19612"/>
      <w:bookmarkStart w:id="89" w:name="_Toc19087"/>
      <w:bookmarkStart w:id="90" w:name="_Toc12403"/>
      <w:bookmarkStart w:id="91" w:name="_Toc26486"/>
      <w:bookmarkStart w:id="92" w:name="_Toc22485"/>
      <w:bookmarkStart w:id="93" w:name="_Toc21197"/>
      <w:bookmarkStart w:id="94" w:name="_Toc7446"/>
      <w:bookmarkStart w:id="95" w:name="_Toc19017"/>
      <w:bookmarkStart w:id="96" w:name="_Toc23708"/>
      <w:bookmarkStart w:id="97" w:name="_Toc1142036445"/>
      <w:bookmarkStart w:id="98" w:name="_Toc30994"/>
      <w:bookmarkStart w:id="99" w:name="_Toc59093500"/>
      <w:bookmarkStart w:id="100" w:name="_Toc468451972"/>
      <w:bookmarkStart w:id="101" w:name="_Toc438535649"/>
      <w:bookmarkStart w:id="102" w:name="_Toc51836702"/>
      <w:bookmarkStart w:id="103" w:name="_Toc468450968"/>
      <w:r>
        <w:rPr>
          <w:rFonts w:hint="eastAsia" w:ascii="黑体" w:eastAsia="黑体"/>
          <w:color w:val="auto"/>
          <w:sz w:val="32"/>
          <w:szCs w:val="32"/>
          <w:highlight w:val="none"/>
        </w:rPr>
        <w:t>四、指标解释</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snapToGrid w:val="0"/>
        <w:spacing w:line="360" w:lineRule="exact"/>
        <w:ind w:firstLine="420" w:firstLineChars="200"/>
        <w:rPr>
          <w:rFonts w:ascii="宋体" w:hAnsi="宋体" w:cs="宋体"/>
          <w:color w:val="auto"/>
          <w:szCs w:val="21"/>
          <w:highlight w:val="none"/>
        </w:rPr>
      </w:pPr>
      <w:r>
        <w:rPr>
          <w:rFonts w:hint="eastAsia" w:ascii="黑体" w:hAnsi="宋体" w:eastAsia="黑体" w:cs="黑体"/>
          <w:color w:val="auto"/>
          <w:szCs w:val="21"/>
          <w:highlight w:val="none"/>
        </w:rPr>
        <w:t>营业收入</w:t>
      </w:r>
      <w:r>
        <w:rPr>
          <w:rFonts w:ascii="黑体" w:hAnsi="宋体" w:eastAsia="黑体" w:cs="黑体"/>
          <w:color w:val="auto"/>
          <w:szCs w:val="21"/>
          <w:highlight w:val="none"/>
        </w:rPr>
        <w:t xml:space="preserve">  </w:t>
      </w:r>
      <w:r>
        <w:rPr>
          <w:rFonts w:hint="eastAsia" w:ascii="宋体" w:hAnsi="宋体" w:cs="宋体"/>
          <w:color w:val="auto"/>
          <w:szCs w:val="21"/>
          <w:highlight w:val="none"/>
        </w:rPr>
        <w:t>指企业从事销售商品、提供劳务和让渡资产使用权等生产经营活动形成的经济利益流入。包括“主营业务收入”和“其他业务收入”。根据会计“利润表”中“营业收入”项目的本年累计数填报。</w:t>
      </w:r>
    </w:p>
    <w:p>
      <w:pPr>
        <w:snapToGrid w:val="0"/>
        <w:spacing w:line="360" w:lineRule="exact"/>
        <w:ind w:firstLine="396" w:firstLineChars="189"/>
        <w:rPr>
          <w:rFonts w:hint="eastAsia" w:ascii="宋体" w:hAnsi="宋体" w:cs="宋体"/>
          <w:color w:val="auto"/>
          <w:szCs w:val="21"/>
          <w:highlight w:val="none"/>
        </w:rPr>
      </w:pPr>
      <w:r>
        <w:rPr>
          <w:rFonts w:hint="eastAsia" w:ascii="黑体" w:hAnsi="宋体" w:eastAsia="黑体" w:cs="黑体"/>
          <w:color w:val="auto"/>
          <w:szCs w:val="21"/>
          <w:highlight w:val="none"/>
        </w:rPr>
        <w:t>利润总额</w:t>
      </w:r>
      <w:r>
        <w:rPr>
          <w:rFonts w:ascii="宋体" w:hAnsi="宋体" w:cs="宋体"/>
          <w:color w:val="auto"/>
          <w:szCs w:val="21"/>
          <w:highlight w:val="none"/>
        </w:rPr>
        <w:t xml:space="preserve">  </w:t>
      </w:r>
      <w:r>
        <w:rPr>
          <w:rFonts w:hint="eastAsia" w:ascii="宋体" w:hAnsi="宋体" w:cs="宋体"/>
          <w:color w:val="auto"/>
          <w:szCs w:val="21"/>
          <w:highlight w:val="none"/>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spacing w:line="360" w:lineRule="exact"/>
        <w:ind w:firstLine="420" w:firstLineChars="200"/>
        <w:rPr>
          <w:rFonts w:hint="eastAsia" w:ascii="宋体" w:cs="宋体"/>
          <w:color w:val="auto"/>
          <w:kern w:val="0"/>
          <w:szCs w:val="21"/>
          <w:highlight w:val="none"/>
        </w:rPr>
      </w:pPr>
      <w:r>
        <w:rPr>
          <w:rFonts w:hint="eastAsia" w:ascii="黑体" w:hAnsi="宋体" w:eastAsia="黑体" w:cs="黑体"/>
          <w:color w:val="auto"/>
          <w:szCs w:val="21"/>
          <w:highlight w:val="none"/>
        </w:rPr>
        <w:t>应交增值税（本年累计发生额）</w:t>
      </w:r>
      <w:r>
        <w:rPr>
          <w:rFonts w:ascii="宋体" w:hAnsi="Calibri" w:cs="宋体"/>
          <w:color w:val="auto"/>
          <w:kern w:val="0"/>
          <w:szCs w:val="21"/>
          <w:highlight w:val="none"/>
        </w:rPr>
        <w:t xml:space="preserve">  </w:t>
      </w:r>
      <w:r>
        <w:rPr>
          <w:rFonts w:hint="eastAsia" w:ascii="宋体" w:cs="宋体"/>
          <w:color w:val="auto"/>
          <w:kern w:val="0"/>
          <w:szCs w:val="21"/>
          <w:highlight w:val="none"/>
        </w:rPr>
        <w:t>按照税法规定，以销售货物、服务、无形资产、不动产或提供加工、修理修配劳务的增值额和货物进口金额为计税依据而课征的一种流转税。填报本指标时，应按权责发生制核算企业本期应负担的增值税，有两种计算方法，可选其一，一旦确定，原则上不得更改。</w:t>
      </w:r>
    </w:p>
    <w:p>
      <w:pPr>
        <w:spacing w:line="360" w:lineRule="exact"/>
        <w:ind w:firstLine="420" w:firstLineChars="200"/>
        <w:rPr>
          <w:rFonts w:hint="eastAsia" w:ascii="宋体" w:cs="宋体"/>
          <w:color w:val="auto"/>
          <w:kern w:val="0"/>
          <w:szCs w:val="21"/>
          <w:highlight w:val="none"/>
        </w:rPr>
      </w:pPr>
      <w:r>
        <w:rPr>
          <w:rFonts w:hint="eastAsia" w:ascii="黑体" w:hAnsi="宋体" w:eastAsia="黑体" w:cs="黑体"/>
          <w:color w:val="auto"/>
          <w:szCs w:val="21"/>
          <w:highlight w:val="none"/>
        </w:rPr>
        <w:t>方法一：</w:t>
      </w:r>
      <w:r>
        <w:rPr>
          <w:rFonts w:hint="eastAsia" w:ascii="宋体" w:cs="宋体"/>
          <w:color w:val="auto"/>
          <w:kern w:val="0"/>
          <w:szCs w:val="21"/>
          <w:highlight w:val="none"/>
        </w:rPr>
        <w:t>根据本期会计科目“销项税额”“进项税额转出”“出口退税”“简易计税”年初至期末贷方累计发生额，“进项税额”“出口抵减内销产品应纳税额”“减免税款”年初至期末借方累计发生额</w:t>
      </w:r>
      <w:r>
        <w:rPr>
          <w:rFonts w:ascii="宋体" w:cs="宋体"/>
          <w:color w:val="auto"/>
          <w:kern w:val="0"/>
          <w:szCs w:val="21"/>
          <w:highlight w:val="none"/>
          <w:lang w:val="en"/>
        </w:rPr>
        <w:t>，</w:t>
      </w:r>
      <w:r>
        <w:rPr>
          <w:rFonts w:hint="eastAsia" w:ascii="宋体" w:cs="宋体"/>
          <w:color w:val="auto"/>
          <w:kern w:val="0"/>
          <w:szCs w:val="21"/>
          <w:highlight w:val="none"/>
        </w:rPr>
        <w:t>取值后按照下述公式计算填报：</w:t>
      </w:r>
    </w:p>
    <w:p>
      <w:pPr>
        <w:spacing w:line="360" w:lineRule="exact"/>
        <w:ind w:firstLine="420" w:firstLineChars="200"/>
        <w:rPr>
          <w:rFonts w:ascii="宋体" w:cs="宋体"/>
          <w:color w:val="auto"/>
          <w:kern w:val="0"/>
          <w:szCs w:val="21"/>
          <w:highlight w:val="none"/>
        </w:rPr>
      </w:pPr>
      <w:r>
        <w:rPr>
          <w:rFonts w:ascii="宋体" w:cs="宋体"/>
          <w:color w:val="auto"/>
          <w:kern w:val="0"/>
          <w:szCs w:val="21"/>
          <w:highlight w:val="none"/>
          <w:lang w:val="en"/>
        </w:rPr>
        <w:t>应交</w:t>
      </w:r>
      <w:r>
        <w:rPr>
          <w:rFonts w:hint="eastAsia" w:ascii="宋体" w:cs="宋体"/>
          <w:color w:val="auto"/>
          <w:kern w:val="0"/>
          <w:szCs w:val="21"/>
          <w:highlight w:val="none"/>
          <w:lang w:val="en"/>
        </w:rPr>
        <w:t>增值税（本年累计发生额）</w:t>
      </w:r>
      <w:r>
        <w:rPr>
          <w:rFonts w:ascii="宋体" w:cs="宋体"/>
          <w:color w:val="auto"/>
          <w:kern w:val="0"/>
          <w:szCs w:val="21"/>
          <w:highlight w:val="none"/>
        </w:rPr>
        <w:t>=</w:t>
      </w:r>
      <w:r>
        <w:rPr>
          <w:rFonts w:hint="eastAsia" w:ascii="宋体" w:cs="宋体"/>
          <w:color w:val="auto"/>
          <w:kern w:val="0"/>
          <w:szCs w:val="21"/>
          <w:highlight w:val="none"/>
        </w:rPr>
        <w:t>销项税额－（进项税额－进项税额转出）－出口抵减内销产品应纳税额－减免税款</w:t>
      </w:r>
      <w:r>
        <w:rPr>
          <w:rFonts w:ascii="宋体" w:cs="宋体"/>
          <w:color w:val="auto"/>
          <w:kern w:val="0"/>
          <w:szCs w:val="21"/>
          <w:highlight w:val="none"/>
        </w:rPr>
        <w:t>+</w:t>
      </w:r>
      <w:r>
        <w:rPr>
          <w:rFonts w:hint="eastAsia" w:ascii="宋体" w:cs="宋体"/>
          <w:color w:val="auto"/>
          <w:kern w:val="0"/>
          <w:szCs w:val="21"/>
          <w:highlight w:val="none"/>
        </w:rPr>
        <w:t>出口退税+简易计税</w:t>
      </w:r>
    </w:p>
    <w:p>
      <w:pPr>
        <w:spacing w:line="360" w:lineRule="exact"/>
        <w:ind w:firstLine="420" w:firstLineChars="200"/>
        <w:rPr>
          <w:rFonts w:hint="eastAsia" w:ascii="宋体" w:cs="宋体"/>
          <w:color w:val="auto"/>
          <w:kern w:val="0"/>
          <w:szCs w:val="21"/>
          <w:highlight w:val="none"/>
        </w:rPr>
      </w:pPr>
      <w:r>
        <w:rPr>
          <w:rFonts w:hint="eastAsia" w:ascii="黑体" w:hAnsi="宋体" w:eastAsia="黑体" w:cs="黑体"/>
          <w:color w:val="auto"/>
          <w:szCs w:val="21"/>
          <w:highlight w:val="none"/>
        </w:rPr>
        <w:t>方法二：</w:t>
      </w:r>
      <w:r>
        <w:rPr>
          <w:rFonts w:hint="eastAsia" w:ascii="宋体" w:cs="宋体"/>
          <w:color w:val="auto"/>
          <w:kern w:val="0"/>
          <w:szCs w:val="21"/>
          <w:highlight w:val="none"/>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一般项目”列中“本年累计”列，各期附表4“税额抵减情况表”（第6行第2列减第3列）“本期发生额”</w:t>
      </w:r>
      <w:r>
        <w:rPr>
          <w:rFonts w:hint="eastAsia" w:ascii="宋体" w:cs="宋体"/>
          <w:color w:val="auto"/>
          <w:kern w:val="0"/>
          <w:szCs w:val="21"/>
          <w:highlight w:val="none"/>
          <w:lang w:eastAsia="zh-CN"/>
        </w:rPr>
        <w:t>－</w:t>
      </w:r>
      <w:r>
        <w:rPr>
          <w:rFonts w:hint="eastAsia" w:ascii="宋体" w:cs="宋体"/>
          <w:color w:val="auto"/>
          <w:kern w:val="0"/>
          <w:szCs w:val="21"/>
          <w:highlight w:val="none"/>
        </w:rPr>
        <w:t>“本期调减额”的本期累计数（政策有效期内，符合加计抵减条件的企业填报），按照下述公式计算填报：</w:t>
      </w:r>
    </w:p>
    <w:p>
      <w:pPr>
        <w:spacing w:line="360" w:lineRule="exact"/>
        <w:ind w:firstLine="420" w:firstLineChars="200"/>
        <w:rPr>
          <w:rFonts w:hint="eastAsia" w:ascii="宋体" w:cs="宋体"/>
          <w:color w:val="auto"/>
          <w:kern w:val="0"/>
          <w:szCs w:val="21"/>
          <w:highlight w:val="none"/>
        </w:rPr>
      </w:pPr>
      <w:r>
        <w:rPr>
          <w:rFonts w:ascii="宋体" w:cs="宋体"/>
          <w:color w:val="auto"/>
          <w:kern w:val="0"/>
          <w:szCs w:val="21"/>
          <w:highlight w:val="none"/>
          <w:lang w:val="en"/>
        </w:rPr>
        <w:t>应交</w:t>
      </w:r>
      <w:r>
        <w:rPr>
          <w:rFonts w:hint="eastAsia" w:ascii="宋体" w:cs="宋体"/>
          <w:color w:val="auto"/>
          <w:kern w:val="0"/>
          <w:szCs w:val="21"/>
          <w:highlight w:val="none"/>
          <w:lang w:val="en"/>
        </w:rPr>
        <w:t>增值税（本年累计发生额）</w:t>
      </w:r>
      <w:r>
        <w:rPr>
          <w:rFonts w:ascii="宋体" w:cs="宋体"/>
          <w:color w:val="auto"/>
          <w:kern w:val="0"/>
          <w:szCs w:val="21"/>
          <w:highlight w:val="none"/>
        </w:rPr>
        <w:t>=</w:t>
      </w:r>
      <w:r>
        <w:rPr>
          <w:rFonts w:hint="eastAsia" w:ascii="宋体" w:cs="宋体"/>
          <w:color w:val="auto"/>
          <w:kern w:val="0"/>
          <w:szCs w:val="21"/>
          <w:highlight w:val="none"/>
        </w:rPr>
        <w:t>销项税额－（进项税额－进项税额转出－免、抵、退应退税额）</w:t>
      </w:r>
      <w:r>
        <w:rPr>
          <w:rFonts w:ascii="宋体" w:cs="宋体"/>
          <w:color w:val="auto"/>
          <w:kern w:val="0"/>
          <w:szCs w:val="21"/>
          <w:highlight w:val="none"/>
        </w:rPr>
        <w:t>+</w:t>
      </w:r>
      <w:r>
        <w:rPr>
          <w:rFonts w:hint="eastAsia" w:ascii="宋体" w:cs="宋体"/>
          <w:color w:val="auto"/>
          <w:kern w:val="0"/>
          <w:szCs w:val="21"/>
          <w:highlight w:val="none"/>
        </w:rPr>
        <w:t>简易计税办法计算的应纳税额</w:t>
      </w:r>
      <w:r>
        <w:rPr>
          <w:rFonts w:ascii="宋体" w:cs="宋体"/>
          <w:color w:val="auto"/>
          <w:kern w:val="0"/>
          <w:szCs w:val="21"/>
          <w:highlight w:val="none"/>
        </w:rPr>
        <w:t>+</w:t>
      </w:r>
      <w:r>
        <w:rPr>
          <w:rFonts w:hint="eastAsia" w:ascii="宋体" w:cs="宋体"/>
          <w:color w:val="auto"/>
          <w:kern w:val="0"/>
          <w:szCs w:val="21"/>
          <w:highlight w:val="none"/>
        </w:rPr>
        <w:t>按简易计税办法计算的纳税检查应补缴税额－应纳税额减征额-加计抵减额</w:t>
      </w:r>
    </w:p>
    <w:p>
      <w:pPr>
        <w:spacing w:line="36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计算方法说明及填报要求：</w:t>
      </w:r>
    </w:p>
    <w:p>
      <w:pPr>
        <w:spacing w:line="36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（1）计算公式均体现权责发生制，本期发生的进项税额全部参与计算，相当于不设置留抵，同时也不抵扣会计账簿或增值税纳税申报表中上年年末留抵的进项税额，公式计算结果可以为负数。</w:t>
      </w:r>
    </w:p>
    <w:p>
      <w:pPr>
        <w:snapToGrid w:val="0"/>
        <w:spacing w:line="360" w:lineRule="exact"/>
        <w:ind w:firstLine="396" w:firstLineChars="189"/>
        <w:rPr>
          <w:rFonts w:hint="eastAsia" w:ascii="宋体" w:cs="宋体"/>
          <w:color w:val="auto"/>
          <w:kern w:val="0"/>
          <w:szCs w:val="21"/>
          <w:highlight w:val="none"/>
        </w:rPr>
      </w:pPr>
      <w:r>
        <w:rPr>
          <w:rFonts w:hint="eastAsia" w:ascii="宋体" w:cs="宋体"/>
          <w:color w:val="auto"/>
          <w:kern w:val="0"/>
          <w:szCs w:val="21"/>
          <w:highlight w:val="none"/>
        </w:rPr>
        <w:t>（2）按照公式计算本指标后，不应再加增值税减免税额，因为这部分价值不再形成企业缴纳义务。</w:t>
      </w:r>
    </w:p>
    <w:p>
      <w:pPr>
        <w:spacing w:line="360" w:lineRule="exact"/>
        <w:ind w:firstLine="420" w:firstLineChars="200"/>
        <w:rPr>
          <w:rFonts w:hint="eastAsia" w:ascii="宋体" w:hAnsi="宋体"/>
          <w:color w:val="auto"/>
          <w:szCs w:val="21"/>
          <w:highlight w:val="none"/>
        </w:rPr>
      </w:pPr>
      <w:r>
        <w:rPr>
          <w:rFonts w:hint="eastAsia" w:ascii="黑体" w:hAnsi="宋体" w:eastAsia="黑体"/>
          <w:color w:val="auto"/>
          <w:szCs w:val="21"/>
          <w:highlight w:val="none"/>
        </w:rPr>
        <w:t xml:space="preserve">从业人员平均人数  </w:t>
      </w:r>
      <w:r>
        <w:rPr>
          <w:rFonts w:hint="eastAsia" w:ascii="宋体" w:hAnsi="宋体"/>
          <w:color w:val="auto"/>
          <w:szCs w:val="21"/>
          <w:highlight w:val="none"/>
        </w:rPr>
        <w:t>指</w:t>
      </w:r>
      <w:r>
        <w:rPr>
          <w:rFonts w:hint="eastAsia" w:ascii="宋体" w:hAnsi="宋体" w:eastAsia="宋体"/>
          <w:color w:val="auto"/>
          <w:szCs w:val="21"/>
          <w:highlight w:val="none"/>
          <w:lang w:eastAsia="zh-CN"/>
        </w:rPr>
        <w:t>月度或年度</w:t>
      </w:r>
      <w:r>
        <w:rPr>
          <w:rFonts w:hint="eastAsia" w:ascii="宋体" w:hAnsi="宋体"/>
          <w:color w:val="auto"/>
          <w:szCs w:val="21"/>
          <w:highlight w:val="none"/>
        </w:rPr>
        <w:t>平均拥有的从业人员数。年度平均人数按单位实际月平均人数计算得到，不得用期末人数替代。</w:t>
      </w:r>
    </w:p>
    <w:p>
      <w:pPr>
        <w:numPr>
          <w:ilvl w:val="0"/>
          <w:numId w:val="0"/>
        </w:numPr>
        <w:spacing w:line="360" w:lineRule="exact"/>
        <w:ind w:left="420" w:firstLine="0"/>
        <w:rPr>
          <w:rFonts w:ascii="宋体" w:hAnsi="宋体"/>
          <w:color w:val="auto"/>
          <w:szCs w:val="21"/>
          <w:highlight w:val="none"/>
        </w:rPr>
      </w:pPr>
      <w:r>
        <w:rPr>
          <w:rFonts w:hint="eastAsia"/>
          <w:color w:val="auto"/>
          <w:highlight w:val="none"/>
          <w:lang w:val="en-US" w:eastAsia="zh-CN"/>
        </w:rPr>
        <w:t>1</w:t>
      </w:r>
      <w:r>
        <w:rPr>
          <w:rFonts w:hint="eastAsia" w:ascii="宋体" w:hAnsi="宋体"/>
          <w:color w:val="auto"/>
          <w:szCs w:val="21"/>
          <w:highlight w:val="none"/>
        </w:rPr>
        <w:t>.</w:t>
      </w:r>
      <w:r>
        <w:rPr>
          <w:rFonts w:hint="eastAsia" w:ascii="宋体" w:hAnsi="宋体"/>
          <w:color w:val="auto"/>
          <w:szCs w:val="21"/>
          <w:highlight w:val="none"/>
          <w:lang w:val="en-US" w:eastAsia="zh-CN"/>
        </w:rPr>
        <w:t xml:space="preserve"> </w:t>
      </w:r>
      <w:r>
        <w:rPr>
          <w:rFonts w:hint="eastAsia"/>
          <w:color w:val="auto"/>
          <w:highlight w:val="none"/>
        </w:rPr>
        <w:t>月平</w:t>
      </w:r>
      <w:r>
        <w:rPr>
          <w:rFonts w:hint="eastAsia" w:ascii="宋体" w:hAnsi="宋体"/>
          <w:color w:val="auto"/>
          <w:szCs w:val="21"/>
          <w:highlight w:val="none"/>
        </w:rPr>
        <w:t>均人数是以报告月内每天实有的全部人数之和，除以报告月的日历日数计算公式为：</w:t>
      </w:r>
    </w:p>
    <w:p>
      <w:pPr>
        <w:spacing w:line="360" w:lineRule="exact"/>
        <w:ind w:left="420"/>
        <w:rPr>
          <w:rFonts w:hint="eastAsia" w:ascii="宋体" w:hAnsi="宋体"/>
          <w:color w:val="auto"/>
          <w:szCs w:val="21"/>
          <w:highlight w:val="none"/>
        </w:rPr>
      </w:pPr>
      <w:r>
        <w:rPr>
          <w:rFonts w:hint="eastAsia" w:ascii="宋体" w:hAnsi="宋体"/>
          <w:color w:val="auto"/>
          <w:szCs w:val="21"/>
          <w:highlight w:val="none"/>
        </w:rPr>
        <w:t>月平均人数=报告月内每天实有的全部人数之和</w:t>
      </w:r>
      <w:r>
        <w:rPr>
          <w:rFonts w:ascii="宋体" w:hAnsi="宋体"/>
          <w:color w:val="auto"/>
          <w:szCs w:val="21"/>
          <w:highlight w:val="none"/>
        </w:rPr>
        <w:t>/</w:t>
      </w:r>
      <w:r>
        <w:rPr>
          <w:rFonts w:hint="eastAsia" w:ascii="宋体" w:hAnsi="宋体"/>
          <w:color w:val="auto"/>
          <w:szCs w:val="21"/>
          <w:highlight w:val="none"/>
        </w:rPr>
        <w:t>报告月的日历日数</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对人员增减变动很小的单位，其月平均人数也可以用月初人数与月末人数之和除以2求得。计算公式为：</w:t>
      </w:r>
    </w:p>
    <w:p>
      <w:pPr>
        <w:snapToGrid w:val="0"/>
        <w:spacing w:line="360" w:lineRule="exact"/>
        <w:ind w:firstLine="420" w:firstLineChars="200"/>
        <w:rPr>
          <w:rFonts w:hint="eastAsia" w:ascii="宋体" w:hAnsi="宋体"/>
          <w:color w:val="auto"/>
          <w:szCs w:val="21"/>
          <w:highlight w:val="none"/>
        </w:rPr>
      </w:pPr>
      <w:r>
        <w:rPr>
          <w:rFonts w:hint="eastAsia"/>
          <w:color w:val="auto"/>
          <w:highlight w:val="none"/>
        </w:rPr>
        <w:t xml:space="preserve">月平均人数= </w:t>
      </w:r>
      <w:r>
        <w:rPr>
          <w:rFonts w:hint="eastAsia"/>
          <w:color w:val="auto"/>
          <w:highlight w:val="none"/>
          <w:lang w:eastAsia="zh-CN"/>
        </w:rPr>
        <w:t>（</w:t>
      </w:r>
      <w:r>
        <w:rPr>
          <w:rFonts w:hint="eastAsia"/>
          <w:color w:val="auto"/>
          <w:highlight w:val="none"/>
        </w:rPr>
        <w:t>月初人数+月末人数</w:t>
      </w:r>
      <w:r>
        <w:rPr>
          <w:rFonts w:hint="eastAsia"/>
          <w:color w:val="auto"/>
          <w:highlight w:val="none"/>
          <w:lang w:eastAsia="zh-CN"/>
        </w:rPr>
        <w:t>）</w:t>
      </w:r>
      <w:r>
        <w:rPr>
          <w:rFonts w:hint="eastAsia"/>
          <w:color w:val="auto"/>
          <w:highlight w:val="none"/>
        </w:rPr>
        <w:t xml:space="preserve"> </w:t>
      </w:r>
      <w:r>
        <w:rPr>
          <w:color w:val="auto"/>
          <w:highlight w:val="none"/>
        </w:rPr>
        <w:t>/</w:t>
      </w:r>
      <w:r>
        <w:rPr>
          <w:rFonts w:hint="eastAsia"/>
          <w:color w:val="auto"/>
          <w:highlight w:val="none"/>
        </w:rPr>
        <w:t xml:space="preserve"> </w:t>
      </w:r>
      <w:r>
        <w:rPr>
          <w:color w:val="auto"/>
          <w:highlight w:val="none"/>
        </w:rPr>
        <w:t>2</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在计算月平均人数时应注意：</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（1）公休日与节假日的人数应按放假前最后一个工作日的人数计算。</w:t>
      </w:r>
    </w:p>
    <w:p>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（2）对新建立不满整月的单位（月中或月末建立），在计算报告月的平均人数时，应以其建立后各天实有人数之和，除以</w:t>
      </w:r>
      <w:r>
        <w:rPr>
          <w:rFonts w:hint="eastAsia" w:ascii="宋体" w:hAnsi="宋体"/>
          <w:color w:val="auto"/>
          <w:szCs w:val="21"/>
          <w:highlight w:val="none"/>
          <w:lang w:eastAsia="zh-CN"/>
        </w:rPr>
        <w:t>整月天</w:t>
      </w:r>
      <w:r>
        <w:rPr>
          <w:rFonts w:hint="eastAsia" w:ascii="宋体" w:hAnsi="宋体"/>
          <w:color w:val="auto"/>
          <w:szCs w:val="21"/>
          <w:highlight w:val="none"/>
        </w:rPr>
        <w:t>数求得，而不能除以该单位建立的天数。</w:t>
      </w:r>
    </w:p>
    <w:p>
      <w:pPr>
        <w:spacing w:line="360" w:lineRule="atLeas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年平均人数是以12个月的平均人数之和除以12求得计算公式为：</w:t>
      </w:r>
    </w:p>
    <w:p>
      <w:pPr>
        <w:spacing w:line="360" w:lineRule="atLeast"/>
        <w:rPr>
          <w:rFonts w:hint="eastAsia" w:ascii="宋体" w:hAnsi="宋体"/>
          <w:color w:val="auto"/>
          <w:szCs w:val="21"/>
          <w:highlight w:val="none"/>
        </w:rPr>
      </w:pPr>
      <w:r>
        <w:rPr>
          <w:rFonts w:hint="eastAsia" w:ascii="宋体" w:hAnsi="宋体"/>
          <w:color w:val="auto"/>
          <w:szCs w:val="21"/>
          <w:highlight w:val="none"/>
        </w:rPr>
        <w:t xml:space="preserve">    年平均人数=报告年内12个月平均人数之和</w:t>
      </w:r>
      <w:r>
        <w:rPr>
          <w:rFonts w:ascii="宋体" w:hAnsi="宋体"/>
          <w:color w:val="auto"/>
          <w:szCs w:val="21"/>
          <w:highlight w:val="none"/>
        </w:rPr>
        <w:t>/12</w:t>
      </w:r>
    </w:p>
    <w:p>
      <w:pPr>
        <w:spacing w:line="360" w:lineRule="atLeast"/>
        <w:ind w:firstLine="420" w:firstLineChars="200"/>
        <w:rPr>
          <w:rFonts w:ascii="宋体" w:hAnsi="宋体"/>
          <w:color w:val="auto"/>
          <w:szCs w:val="21"/>
          <w:highlight w:val="none"/>
        </w:rPr>
      </w:pPr>
      <w:r>
        <w:rPr>
          <w:rFonts w:hint="eastAsia" w:ascii="宋体" w:hAnsi="宋体"/>
          <w:color w:val="auto"/>
          <w:szCs w:val="21"/>
          <w:highlight w:val="none"/>
        </w:rPr>
        <w:t>在年内新成立的单位年平均人数计算方法为：从实际开工之月起到年底的月平均人数相加除以12个月。计算公式为：</w:t>
      </w:r>
    </w:p>
    <w:p>
      <w:pPr>
        <w:pStyle w:val="2"/>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年平均人数=</w:t>
      </w:r>
      <w:r>
        <w:rPr>
          <w:rFonts w:hint="eastAsia" w:ascii="宋体" w:hAnsi="宋体" w:cs="Times New Roman"/>
          <w:color w:val="auto"/>
          <w:sz w:val="21"/>
          <w:szCs w:val="21"/>
          <w:highlight w:val="none"/>
          <w:lang w:eastAsia="zh-CN"/>
        </w:rPr>
        <w:t>（</w:t>
      </w:r>
      <w:r>
        <w:rPr>
          <w:rFonts w:hint="eastAsia" w:ascii="宋体" w:hAnsi="宋体" w:eastAsia="宋体" w:cs="Times New Roman"/>
          <w:color w:val="auto"/>
          <w:sz w:val="21"/>
          <w:szCs w:val="21"/>
          <w:highlight w:val="none"/>
        </w:rPr>
        <w:t>开工之月平均人数+…+12月平均人数</w:t>
      </w:r>
      <w:r>
        <w:rPr>
          <w:rFonts w:hint="eastAsia" w:ascii="宋体" w:hAnsi="宋体" w:cs="Times New Roman"/>
          <w:color w:val="auto"/>
          <w:sz w:val="21"/>
          <w:szCs w:val="21"/>
          <w:highlight w:val="none"/>
          <w:lang w:eastAsia="zh-CN"/>
        </w:rPr>
        <w:t>）</w:t>
      </w:r>
      <w:r>
        <w:rPr>
          <w:rFonts w:hint="eastAsia" w:ascii="宋体" w:hAnsi="宋体" w:eastAsia="宋体" w:cs="Times New Roman"/>
          <w:color w:val="auto"/>
          <w:sz w:val="21"/>
          <w:szCs w:val="21"/>
          <w:highlight w:val="none"/>
        </w:rPr>
        <w:t>/12</w:t>
      </w:r>
    </w:p>
    <w:bookmarkEnd w:id="99"/>
    <w:bookmarkEnd w:id="100"/>
    <w:bookmarkEnd w:id="101"/>
    <w:bookmarkEnd w:id="102"/>
    <w:bookmarkEnd w:id="103"/>
    <w:p>
      <w:pPr>
        <w:spacing w:line="576" w:lineRule="exact"/>
        <w:jc w:val="both"/>
        <w:rPr>
          <w:rFonts w:eastAsia="方正小标宋_GBK"/>
          <w:bCs/>
          <w:color w:val="auto"/>
          <w:sz w:val="44"/>
          <w:highlight w:val="none"/>
        </w:rPr>
      </w:pPr>
      <w:bookmarkStart w:id="104" w:name="_Toc12138"/>
      <w:bookmarkStart w:id="105" w:name="_Toc30308"/>
      <w:bookmarkStart w:id="106" w:name="_Toc19703"/>
      <w:bookmarkStart w:id="107" w:name="_Toc2214"/>
      <w:bookmarkStart w:id="108" w:name="_Toc32264"/>
      <w:bookmarkStart w:id="109" w:name="_Toc15505"/>
      <w:bookmarkStart w:id="110" w:name="_Toc27505"/>
      <w:bookmarkStart w:id="111" w:name="_Toc31677"/>
      <w:bookmarkStart w:id="112" w:name="_Toc17375"/>
      <w:bookmarkStart w:id="113" w:name="_Toc25277"/>
      <w:bookmarkStart w:id="114" w:name="_Toc12443"/>
      <w:bookmarkStart w:id="115" w:name="_Toc9268"/>
      <w:bookmarkStart w:id="116" w:name="_Toc19504"/>
      <w:bookmarkStart w:id="117" w:name="_Toc24845"/>
      <w:bookmarkStart w:id="118" w:name="_Toc2113"/>
      <w:bookmarkStart w:id="119" w:name="_Toc10775"/>
      <w:bookmarkStart w:id="120" w:name="_Toc10846"/>
      <w:bookmarkStart w:id="121" w:name="_Toc22615"/>
      <w:bookmarkStart w:id="122" w:name="_Toc5447"/>
      <w:bookmarkStart w:id="123" w:name="_Toc9973"/>
    </w:p>
    <w:p>
      <w:pPr>
        <w:keepNext w:val="0"/>
        <w:keepLines w:val="0"/>
        <w:pageBreakBefore w:val="0"/>
        <w:widowControl w:val="0"/>
        <w:tabs>
          <w:tab w:val="right" w:leader="middleDot" w:pos="9421"/>
        </w:tabs>
        <w:kinsoku/>
        <w:wordWrap/>
        <w:overflowPunct/>
        <w:topLinePunct w:val="0"/>
        <w:autoSpaceDE/>
        <w:autoSpaceDN/>
        <w:bidi w:val="0"/>
        <w:adjustRightInd/>
        <w:snapToGrid w:val="0"/>
        <w:spacing w:after="240" w:afterLines="100" w:line="480" w:lineRule="exact"/>
        <w:jc w:val="center"/>
        <w:textAlignment w:val="auto"/>
        <w:outlineLvl w:val="0"/>
        <w:rPr>
          <w:rFonts w:hint="eastAsia" w:ascii="黑体" w:eastAsia="黑体" w:cs="Times New Roman"/>
          <w:color w:val="auto"/>
          <w:sz w:val="32"/>
          <w:szCs w:val="32"/>
          <w:highlight w:val="none"/>
        </w:rPr>
      </w:pPr>
      <w:bookmarkStart w:id="124" w:name="_Toc15937"/>
      <w:bookmarkStart w:id="125" w:name="_Toc1676543917"/>
      <w:bookmarkStart w:id="126" w:name="_Toc25635"/>
      <w:bookmarkStart w:id="127" w:name="_Toc7442"/>
      <w:bookmarkStart w:id="128" w:name="_Toc23850"/>
      <w:bookmarkStart w:id="129" w:name="_Toc13703"/>
      <w:r>
        <w:rPr>
          <w:rFonts w:hint="eastAsia" w:ascii="黑体" w:hAnsi="Times New Roman" w:eastAsia="黑体" w:cs="Times New Roman"/>
          <w:color w:val="auto"/>
          <w:sz w:val="32"/>
          <w:szCs w:val="32"/>
          <w:highlight w:val="none"/>
          <w:lang w:eastAsia="zh-CN"/>
        </w:rPr>
        <w:br w:type="page"/>
      </w:r>
      <w:bookmarkStart w:id="130" w:name="_Toc13584"/>
      <w:r>
        <w:rPr>
          <w:rFonts w:hint="eastAsia" w:ascii="黑体" w:eastAsia="黑体" w:cs="Times New Roman"/>
          <w:color w:val="auto"/>
          <w:sz w:val="32"/>
          <w:szCs w:val="32"/>
          <w:highlight w:val="none"/>
          <w:lang w:eastAsia="zh-CN"/>
        </w:rPr>
        <w:t>五、</w:t>
      </w:r>
      <w:r>
        <w:rPr>
          <w:rFonts w:hint="eastAsia" w:ascii="黑体" w:eastAsia="黑体" w:cs="Times New Roman"/>
          <w:color w:val="auto"/>
          <w:sz w:val="32"/>
          <w:szCs w:val="32"/>
          <w:highlight w:val="none"/>
        </w:rPr>
        <w:t>海南省高新技术产业统计分类目录（</w:t>
      </w:r>
      <w:r>
        <w:rPr>
          <w:rFonts w:hint="eastAsia" w:ascii="黑体" w:eastAsia="黑体" w:cs="Times New Roman"/>
          <w:color w:val="auto"/>
          <w:sz w:val="32"/>
          <w:szCs w:val="32"/>
          <w:highlight w:val="none"/>
          <w:lang w:val="en-US" w:eastAsia="zh-CN"/>
        </w:rPr>
        <w:t>2026</w:t>
      </w:r>
      <w:r>
        <w:rPr>
          <w:rFonts w:hint="eastAsia" w:ascii="黑体" w:eastAsia="黑体" w:cs="Times New Roman"/>
          <w:color w:val="auto"/>
          <w:sz w:val="32"/>
          <w:szCs w:val="32"/>
          <w:highlight w:val="none"/>
        </w:rPr>
        <w:t>）</w:t>
      </w:r>
      <w:bookmarkEnd w:id="130"/>
    </w:p>
    <w:p>
      <w:pPr>
        <w:pStyle w:val="2"/>
        <w:ind w:left="0" w:leftChars="0" w:firstLine="0" w:firstLineChars="0"/>
        <w:rPr>
          <w:color w:val="auto"/>
          <w:highlight w:val="none"/>
        </w:rPr>
      </w:pPr>
    </w:p>
    <w:tbl>
      <w:tblPr>
        <w:tblStyle w:val="16"/>
        <w:tblW w:w="980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195"/>
        <w:gridCol w:w="1200"/>
        <w:gridCol w:w="1145"/>
        <w:gridCol w:w="5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trPr>
        <w:tc>
          <w:tcPr>
            <w:tcW w:w="1080" w:type="dxa"/>
            <w:tcBorders>
              <w:tl2br w:val="nil"/>
              <w:tr2bl w:val="nil"/>
            </w:tcBorders>
            <w:noWrap w:val="0"/>
            <w:vAlign w:val="center"/>
          </w:tcPr>
          <w:p>
            <w:pPr>
              <w:widowControl/>
              <w:jc w:val="center"/>
              <w:textAlignment w:val="center"/>
              <w:rPr>
                <w:rFonts w:hint="eastAsia" w:ascii="黑体" w:hAnsi="黑体" w:eastAsia="黑体" w:cs="黑体"/>
                <w:b w:val="0"/>
                <w:bCs w:val="0"/>
                <w:color w:val="auto"/>
                <w:sz w:val="20"/>
                <w:szCs w:val="20"/>
                <w:highlight w:val="none"/>
              </w:rPr>
            </w:pPr>
            <w:r>
              <w:rPr>
                <w:rFonts w:hint="eastAsia" w:ascii="黑体" w:hAnsi="黑体" w:eastAsia="黑体" w:cs="黑体"/>
                <w:b w:val="0"/>
                <w:bCs w:val="0"/>
                <w:color w:val="auto"/>
                <w:kern w:val="0"/>
                <w:sz w:val="20"/>
                <w:szCs w:val="20"/>
                <w:highlight w:val="none"/>
              </w:rPr>
              <w:t>产业</w:t>
            </w:r>
          </w:p>
        </w:tc>
        <w:tc>
          <w:tcPr>
            <w:tcW w:w="1195" w:type="dxa"/>
            <w:tcBorders>
              <w:tl2br w:val="nil"/>
              <w:tr2bl w:val="nil"/>
            </w:tcBorders>
            <w:noWrap w:val="0"/>
            <w:vAlign w:val="center"/>
          </w:tcPr>
          <w:p>
            <w:pPr>
              <w:widowControl/>
              <w:jc w:val="center"/>
              <w:textAlignment w:val="center"/>
              <w:rPr>
                <w:rFonts w:hint="eastAsia" w:ascii="黑体" w:hAnsi="黑体" w:eastAsia="黑体" w:cs="黑体"/>
                <w:b w:val="0"/>
                <w:bCs w:val="0"/>
                <w:color w:val="auto"/>
                <w:sz w:val="20"/>
                <w:szCs w:val="20"/>
                <w:highlight w:val="none"/>
              </w:rPr>
            </w:pPr>
            <w:r>
              <w:rPr>
                <w:rFonts w:hint="eastAsia" w:ascii="黑体" w:hAnsi="黑体" w:eastAsia="黑体" w:cs="黑体"/>
                <w:b w:val="0"/>
                <w:bCs w:val="0"/>
                <w:color w:val="auto"/>
                <w:kern w:val="0"/>
                <w:sz w:val="20"/>
                <w:szCs w:val="20"/>
                <w:highlight w:val="none"/>
              </w:rPr>
              <w:t>细分领域</w:t>
            </w:r>
          </w:p>
        </w:tc>
        <w:tc>
          <w:tcPr>
            <w:tcW w:w="1200" w:type="dxa"/>
            <w:tcBorders>
              <w:tl2br w:val="nil"/>
              <w:tr2bl w:val="nil"/>
            </w:tcBorders>
            <w:noWrap w:val="0"/>
            <w:vAlign w:val="center"/>
          </w:tcPr>
          <w:p>
            <w:pPr>
              <w:widowControl/>
              <w:jc w:val="center"/>
              <w:textAlignment w:val="center"/>
              <w:rPr>
                <w:rFonts w:hint="eastAsia" w:ascii="黑体" w:hAnsi="黑体" w:eastAsia="黑体" w:cs="黑体"/>
                <w:b w:val="0"/>
                <w:bCs w:val="0"/>
                <w:color w:val="auto"/>
                <w:sz w:val="20"/>
                <w:szCs w:val="20"/>
                <w:highlight w:val="none"/>
              </w:rPr>
            </w:pPr>
            <w:r>
              <w:rPr>
                <w:rFonts w:hint="eastAsia" w:ascii="黑体" w:hAnsi="黑体" w:eastAsia="黑体" w:cs="黑体"/>
                <w:b w:val="0"/>
                <w:bCs w:val="0"/>
                <w:color w:val="auto"/>
                <w:kern w:val="0"/>
                <w:sz w:val="20"/>
                <w:szCs w:val="20"/>
                <w:highlight w:val="none"/>
              </w:rPr>
              <w:t>行业代码</w:t>
            </w:r>
          </w:p>
        </w:tc>
        <w:tc>
          <w:tcPr>
            <w:tcW w:w="1145" w:type="dxa"/>
            <w:tcBorders>
              <w:tl2br w:val="nil"/>
              <w:tr2bl w:val="nil"/>
            </w:tcBorders>
            <w:noWrap w:val="0"/>
            <w:vAlign w:val="center"/>
          </w:tcPr>
          <w:p>
            <w:pPr>
              <w:widowControl/>
              <w:jc w:val="center"/>
              <w:textAlignment w:val="center"/>
              <w:rPr>
                <w:rFonts w:hint="eastAsia" w:ascii="黑体" w:hAnsi="黑体" w:eastAsia="黑体" w:cs="黑体"/>
                <w:b w:val="0"/>
                <w:bCs w:val="0"/>
                <w:color w:val="auto"/>
                <w:sz w:val="20"/>
                <w:szCs w:val="20"/>
                <w:highlight w:val="none"/>
              </w:rPr>
            </w:pPr>
            <w:r>
              <w:rPr>
                <w:rFonts w:hint="eastAsia" w:ascii="黑体" w:hAnsi="黑体" w:eastAsia="黑体" w:cs="黑体"/>
                <w:b w:val="0"/>
                <w:bCs w:val="0"/>
                <w:color w:val="auto"/>
                <w:kern w:val="0"/>
                <w:sz w:val="20"/>
                <w:szCs w:val="20"/>
                <w:highlight w:val="none"/>
              </w:rPr>
              <w:t>行业名称</w:t>
            </w:r>
          </w:p>
        </w:tc>
        <w:tc>
          <w:tcPr>
            <w:tcW w:w="5184" w:type="dxa"/>
            <w:tcBorders>
              <w:tl2br w:val="nil"/>
              <w:tr2bl w:val="nil"/>
            </w:tcBorders>
            <w:noWrap w:val="0"/>
            <w:vAlign w:val="center"/>
          </w:tcPr>
          <w:p>
            <w:pPr>
              <w:widowControl/>
              <w:jc w:val="center"/>
              <w:textAlignment w:val="center"/>
              <w:rPr>
                <w:rFonts w:hint="eastAsia" w:ascii="黑体" w:hAnsi="黑体" w:eastAsia="黑体" w:cs="黑体"/>
                <w:b w:val="0"/>
                <w:bCs w:val="0"/>
                <w:color w:val="auto"/>
                <w:sz w:val="20"/>
                <w:szCs w:val="20"/>
                <w:highlight w:val="none"/>
              </w:rPr>
            </w:pPr>
            <w:r>
              <w:rPr>
                <w:rFonts w:hint="eastAsia" w:ascii="黑体" w:hAnsi="黑体" w:eastAsia="黑体" w:cs="黑体"/>
                <w:b w:val="0"/>
                <w:bCs w:val="0"/>
                <w:color w:val="auto"/>
                <w:kern w:val="0"/>
                <w:sz w:val="20"/>
                <w:szCs w:val="20"/>
                <w:highlight w:val="none"/>
              </w:rPr>
              <w:t>产品和服务索引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tcBorders>
              <w:tl2br w:val="nil"/>
              <w:tr2bl w:val="nil"/>
            </w:tcBorders>
            <w:noWrap w:val="0"/>
            <w:vAlign w:val="center"/>
          </w:tcPr>
          <w:p>
            <w:pPr>
              <w:widowControl/>
              <w:jc w:val="center"/>
              <w:textAlignment w:val="center"/>
              <w:rPr>
                <w:rFonts w:hint="default" w:ascii="Times New Roman" w:hAnsi="Times New Roman" w:eastAsia="宋体" w:cs="Times New Roman"/>
                <w:b/>
                <w:bCs/>
                <w:color w:val="auto"/>
                <w:kern w:val="0"/>
                <w:sz w:val="20"/>
                <w:szCs w:val="20"/>
                <w:highlight w:val="none"/>
              </w:rPr>
            </w:pPr>
            <w:r>
              <w:rPr>
                <w:rFonts w:hint="default" w:ascii="Times New Roman" w:hAnsi="Times New Roman" w:eastAsia="宋体" w:cs="Times New Roman"/>
                <w:b/>
                <w:bCs/>
                <w:color w:val="auto"/>
                <w:kern w:val="0"/>
                <w:sz w:val="20"/>
                <w:szCs w:val="20"/>
                <w:highlight w:val="none"/>
              </w:rPr>
              <w:t>一、数字经济核心产业</w:t>
            </w:r>
          </w:p>
        </w:tc>
        <w:tc>
          <w:tcPr>
            <w:tcW w:w="8724" w:type="dxa"/>
            <w:gridSpan w:val="4"/>
            <w:tcBorders>
              <w:tl2br w:val="nil"/>
              <w:tr2bl w:val="nil"/>
            </w:tcBorders>
            <w:noWrap w:val="0"/>
            <w:vAlign w:val="center"/>
          </w:tcPr>
          <w:p>
            <w:pPr>
              <w:widowControl/>
              <w:ind w:firstLine="200" w:firstLineChars="100"/>
              <w:textAlignment w:val="top"/>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b/>
                <w:bCs/>
                <w:color w:val="auto"/>
                <w:kern w:val="0"/>
                <w:sz w:val="20"/>
                <w:szCs w:val="20"/>
                <w:highlight w:val="none"/>
              </w:rPr>
              <w:t>即《数字经济及其核心产业统计分类》的01数字产品制造业、02数字产品服务业、03数字技术应用业、04数字要素驱动业。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080"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b/>
                <w:bCs/>
                <w:color w:val="auto"/>
                <w:kern w:val="0"/>
                <w:sz w:val="20"/>
                <w:szCs w:val="20"/>
                <w:highlight w:val="none"/>
              </w:rPr>
            </w:pPr>
            <w:r>
              <w:rPr>
                <w:rFonts w:hint="default" w:ascii="Times New Roman" w:hAnsi="Times New Roman" w:eastAsia="宋体" w:cs="Times New Roman"/>
                <w:b/>
                <w:bCs/>
                <w:color w:val="auto"/>
                <w:kern w:val="0"/>
                <w:sz w:val="20"/>
                <w:szCs w:val="20"/>
                <w:highlight w:val="none"/>
              </w:rPr>
              <w:t>二、石油化工新材料</w:t>
            </w: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5、油气开采</w:t>
            </w:r>
            <w:r>
              <w:rPr>
                <w:rFonts w:hint="eastAsia" w:cs="Times New Roman"/>
                <w:color w:val="auto"/>
                <w:kern w:val="0"/>
                <w:sz w:val="20"/>
                <w:szCs w:val="20"/>
                <w:highlight w:val="none"/>
                <w:lang w:eastAsia="zh-CN"/>
              </w:rPr>
              <w:t>、生产和供应</w:t>
            </w:r>
            <w:r>
              <w:rPr>
                <w:rFonts w:ascii="Times New Roman" w:hAnsi="Times New Roman" w:eastAsia="宋体" w:cs="Times New Roman"/>
                <w:color w:val="auto"/>
                <w:kern w:val="0"/>
                <w:sz w:val="20"/>
                <w:szCs w:val="20"/>
                <w:highlight w:val="none"/>
              </w:rPr>
              <w:t>及辅助性活动</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0711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陆地石油开采</w:t>
            </w:r>
          </w:p>
        </w:tc>
        <w:tc>
          <w:tcPr>
            <w:tcW w:w="5184" w:type="dxa"/>
            <w:vMerge w:val="restart"/>
            <w:tcBorders>
              <w:tl2br w:val="nil"/>
              <w:tr2bl w:val="nil"/>
            </w:tcBorders>
            <w:noWrap w:val="0"/>
            <w:vAlign w:val="center"/>
          </w:tcPr>
          <w:p>
            <w:pPr>
              <w:widowControl/>
              <w:textAlignment w:val="center"/>
              <w:rPr>
                <w:rFonts w:hint="eastAsia" w:ascii="Times New Roman" w:hAnsi="Times New Roman" w:eastAsia="华文宋体" w:cs="Times New Roman"/>
                <w:color w:val="auto"/>
                <w:sz w:val="20"/>
                <w:szCs w:val="20"/>
                <w:highlight w:val="none"/>
                <w:lang w:eastAsia="zh-CN"/>
              </w:rPr>
            </w:pPr>
            <w:r>
              <w:rPr>
                <w:rFonts w:hint="default" w:ascii="Times New Roman" w:hAnsi="Times New Roman" w:eastAsia="宋体" w:cs="Times New Roman"/>
                <w:color w:val="auto"/>
                <w:kern w:val="0"/>
                <w:sz w:val="20"/>
                <w:szCs w:val="20"/>
                <w:highlight w:val="none"/>
              </w:rPr>
              <w:t>指在陆地或海洋，对天然原油、液态或气态天然气的开采，对煤矿瓦斯气（煤层气）的开采；为运输目的所进行的天然气液化和从天然气田气体中生产液化烃的活动，还包括对含沥青的页岩或油母页岩矿的开采，以及对焦油沙矿进行的同类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0712</w:t>
            </w:r>
          </w:p>
        </w:tc>
        <w:tc>
          <w:tcPr>
            <w:tcW w:w="1145" w:type="dxa"/>
            <w:tcBorders>
              <w:tl2br w:val="nil"/>
              <w:tr2bl w:val="nil"/>
            </w:tcBorders>
            <w:noWrap w:val="0"/>
            <w:vAlign w:val="top"/>
          </w:tcPr>
          <w:p>
            <w:pPr>
              <w:widowControl/>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海洋石油开采</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0721</w:t>
            </w:r>
          </w:p>
        </w:tc>
        <w:tc>
          <w:tcPr>
            <w:tcW w:w="1145"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陆地天然气开采</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0722</w:t>
            </w:r>
          </w:p>
        </w:tc>
        <w:tc>
          <w:tcPr>
            <w:tcW w:w="1145"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海洋天然气及可燃冰开采</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1120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石油和天然气开采专业及辅助性活动</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石油和天然气开采相关的勘探活动；定向钻井和再钻、掘进、井架的建设；在收费或合同基础上进行的排水和泵吸活动；与石油或天然气开采相关的试钻（油气勘探开发及后勤服务保障、石油制品、天然气化工产业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4511</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天然气生产和供应业</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指利用煤炭、油、燃气等能源生产燃气，或外购液化石油气、天然气等燃气，并进行输配，向用户销售燃气的活动，以及对煤气、液化石油气、天然气输配及使用过程中的维修和管理活动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7471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能源矿产地质勘查</w:t>
            </w:r>
          </w:p>
        </w:tc>
        <w:tc>
          <w:tcPr>
            <w:tcW w:w="5184" w:type="dxa"/>
            <w:vMerge w:val="restart"/>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指对矿产资源、工程地质、科学研究进行的地质勘查、测试、监测、评估等活动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7472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固体矿产地质勘查</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7473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水、二氧化碳等矿产地质勘查</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7474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基础地质勘查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指区域、海洋、环境和水文地质勘查活动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7475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地质勘查技术服务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指除矿产地质勘查、基础地质勘查以外的其他勘查和相关的技术服务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6、石化新材料制造</w:t>
            </w:r>
          </w:p>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2511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原油加工及石油制品制造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 xml:space="preserve"> 指从天然原油、人造原油中提炼液态或气态燃料以及石油制品的生产活动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2519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其他原油制造</w:t>
            </w:r>
          </w:p>
        </w:tc>
        <w:tc>
          <w:tcPr>
            <w:tcW w:w="5184" w:type="dxa"/>
            <w:tcBorders>
              <w:tl2br w:val="nil"/>
              <w:tr2bl w:val="nil"/>
            </w:tcBorders>
            <w:noWrap w:val="0"/>
            <w:vAlign w:val="center"/>
          </w:tcPr>
          <w:p>
            <w:pPr>
              <w:widowControl/>
              <w:ind w:firstLine="0" w:firstLineChars="0"/>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指采用油页岩、油砂、焦油以及一氧化碳、氢等气体等加工得到的类似天然石油的液体燃料的生产</w:t>
            </w:r>
          </w:p>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2611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无机酸制造</w:t>
            </w:r>
          </w:p>
        </w:tc>
        <w:tc>
          <w:tcPr>
            <w:tcW w:w="5184" w:type="dxa"/>
            <w:vMerge w:val="restart"/>
            <w:tcBorders>
              <w:tl2br w:val="nil"/>
              <w:tr2bl w:val="nil"/>
            </w:tcBorders>
            <w:noWrap w:val="0"/>
            <w:vAlign w:val="center"/>
          </w:tcPr>
          <w:p>
            <w:pPr>
              <w:spacing w:line="320" w:lineRule="exact"/>
              <w:rPr>
                <w:rFonts w:ascii="Times New Roman" w:hAnsi="Times New Roman" w:eastAsia="华文宋体" w:cs="Times New Roman"/>
                <w:color w:val="auto"/>
                <w:sz w:val="18"/>
                <w:szCs w:val="18"/>
                <w:highlight w:val="none"/>
              </w:rPr>
            </w:pPr>
            <w:r>
              <w:rPr>
                <w:rFonts w:ascii="Times New Roman" w:hAnsi="Times New Roman" w:eastAsia="华文宋体" w:cs="Times New Roman"/>
                <w:color w:val="auto"/>
                <w:sz w:val="18"/>
                <w:szCs w:val="18"/>
                <w:highlight w:val="none"/>
              </w:rPr>
              <w:t xml:space="preserve"> </w:t>
            </w:r>
            <w:r>
              <w:rPr>
                <w:rFonts w:hint="default" w:ascii="Times New Roman" w:hAnsi="Times New Roman" w:eastAsia="宋体" w:cs="Times New Roman"/>
                <w:color w:val="auto"/>
                <w:kern w:val="0"/>
                <w:sz w:val="20"/>
                <w:szCs w:val="20"/>
                <w:highlight w:val="none"/>
              </w:rPr>
              <w:t>指烧碱、纯碱等生产活动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2612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无机碱制造</w:t>
            </w:r>
          </w:p>
        </w:tc>
        <w:tc>
          <w:tcPr>
            <w:tcW w:w="5184" w:type="dxa"/>
            <w:vMerge w:val="continue"/>
            <w:tcBorders>
              <w:tl2br w:val="nil"/>
              <w:tr2bl w:val="nil"/>
            </w:tcBorders>
            <w:noWrap w:val="0"/>
            <w:vAlign w:val="center"/>
          </w:tcPr>
          <w:p>
            <w:pPr>
              <w:spacing w:line="320" w:lineRule="exact"/>
              <w:rPr>
                <w:rFonts w:ascii="Times New Roman" w:hAnsi="Times New Roman" w:eastAsia="华文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2613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无机盐制造</w:t>
            </w:r>
          </w:p>
        </w:tc>
        <w:tc>
          <w:tcPr>
            <w:tcW w:w="5184" w:type="dxa"/>
            <w:vMerge w:val="continue"/>
            <w:tcBorders>
              <w:tl2br w:val="nil"/>
              <w:tr2bl w:val="nil"/>
            </w:tcBorders>
            <w:noWrap w:val="0"/>
            <w:vAlign w:val="center"/>
          </w:tcPr>
          <w:p>
            <w:pPr>
              <w:spacing w:line="320" w:lineRule="exact"/>
              <w:rPr>
                <w:rFonts w:ascii="Times New Roman" w:hAnsi="Times New Roman" w:eastAsia="华文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2614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有机化学原料制造</w:t>
            </w:r>
          </w:p>
        </w:tc>
        <w:tc>
          <w:tcPr>
            <w:tcW w:w="5184" w:type="dxa"/>
            <w:vMerge w:val="continue"/>
            <w:tcBorders>
              <w:tl2br w:val="nil"/>
              <w:tr2bl w:val="nil"/>
            </w:tcBorders>
            <w:noWrap w:val="0"/>
            <w:vAlign w:val="center"/>
          </w:tcPr>
          <w:p>
            <w:pPr>
              <w:spacing w:line="320" w:lineRule="exact"/>
              <w:rPr>
                <w:rFonts w:ascii="Times New Roman" w:hAnsi="Times New Roman" w:eastAsia="华文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2619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其他基础化学原料制造</w:t>
            </w:r>
          </w:p>
        </w:tc>
        <w:tc>
          <w:tcPr>
            <w:tcW w:w="5184" w:type="dxa"/>
            <w:vMerge w:val="continue"/>
            <w:tcBorders>
              <w:tl2br w:val="nil"/>
              <w:tr2bl w:val="nil"/>
            </w:tcBorders>
            <w:noWrap w:val="0"/>
            <w:vAlign w:val="center"/>
          </w:tcPr>
          <w:p>
            <w:pPr>
              <w:spacing w:line="320" w:lineRule="exact"/>
              <w:rPr>
                <w:rFonts w:ascii="Times New Roman" w:hAnsi="Times New Roman" w:eastAsia="华文宋体" w:cs="Times New Roman"/>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2621</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氮肥制造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指矿物氮肥及用化学方法制成含有作物营养元素氮的化肥的生产活动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2622</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磷肥制造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指以磷矿石为主要原料，用化学或物理方法制成含有作物营养元素磷的化肥的生产活动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2623</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钾肥制造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指用天然钾盐矿经富集精制加工制成含有作物营养元素钾的化肥的生产活动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2624</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复混肥料制造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指经过化学或物理方法加工制成的，含有两种以上作物所需主要营养元素（氮、磷、钾）的化肥的生产活动；包括通用型复混肥料和专用型复混肥料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2625</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有机肥料及微生物肥料制造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指来源于动植物，经发酵或腐熟等化学处理后，适用于土壤并提供植物养分供给的，其主要成分为含氮物质的肥料制造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2629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其他肥料制造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指上述未列明的微量元素肥料及其他肥料的生产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2631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化学农药制造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指化学农药原药，以及经过机械粉碎、混合或稀释制成粉状、乳状和水状的化学农药制剂的生产活动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2632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生物化学农药及微生物农药制造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指由细菌、真菌、病毒和原生动物或基因修饰的微生物等自然产生，以及由植物提取的防治病、虫、草、鼠和其他有害生物的农药制剂生产活动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涂料制造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指在天然树脂或合成树脂中加入颜料、溶剂和辅助材料，经加工后制成的覆盖材料的生产活动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油墨及类似产品制造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指由颜料、联接料（植物油、矿物油、树脂、溶剂）和填充料经过混合、研磨调制而成，用于印刷的有色胶浆状物质，以及用于计算机打印、复印机用墨等生产活动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工业颜料制造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指用于陶瓷、搪瓷、玻璃等工业的无机颜料及类似材料的生产活动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工艺美术颜料制造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指油画、水粉画、广告等艺术用颜料的制造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染料制造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指有机合成、植物性或动物性色料，以及有机颜料的生产活动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2646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密封用填料及类似品制造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指用于建筑涂料、密封和漆工用的填充料，以及其他类似化学材料的制造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2651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初级形态塑料及合成树脂制造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也称初级塑料或原状塑料的生产活动，包括通用塑料、工程塑料、功能高分子塑料的制造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2652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合成橡胶制造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指用一种或多种单体为原料进行聚合生产合成橡胶或高分子弹性体的生产活动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2653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合成纤维单（聚合）体制造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指以石油、天然气、煤等为主要原料，用有机合成的方法制成合成纤维单体或聚合体的生产活动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2659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其他合成材料制造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指陶瓷纤维等特种纤维及其增强的复合材料的生产活动；其他专用合成材料的制造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化学试剂和助剂制造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指各种化学试剂、催化剂及专用助剂的生产活动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专项化学用品制造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指水处理化学品、造纸化学品、皮革化学品、油脂化学品、油田化学品、生物工程化学品、日化产品专用化学品等产品的生产活动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林产化学产品制造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指以林产品为原料，经过化学和物理加工方法生产产品的活动，包括木炭、竹炭生产活动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文化用信息化学品制造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指电影、照相、幻灯及投影用感光材料、冲洗套药，磁、光记录材料，光纤维通讯用辅助材料，及其专用化学制剂的制造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医学生产用信息化学品制造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指医学和其他生产用感光材料、冲洗套药等化学制剂制造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环境污染处理专用药剂材料制造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指对水污染、空气污染、固体废物、土壤污染等污染物处理所专用的化学药剂及材料的制造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2667</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动物胶制造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指以动物骨、皮为原料，经一系列工艺处理制成有一定透明度、黏度、纯度的胶产品的生产活动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2669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其他专用化学产品制造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指其他各种用途的专用化学用品的制造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2681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肥皂及洗涤剂制造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喷洒、涂抹、浸泡等方式施用于肌肤、器皿、织物、硬表面，即冲即洗，起到清洁、去污、渗透、乳化、分散、护理、消毒除菌等功能，广泛用于家居、个人清洁卫生、织物清洁护理、工业清洗、公共设施及环境卫生清洗等领域的产品（固、液、粉、膏、片状等），以及中间体表面活性剂产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2682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化妆品制造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指以涂抹、喷洒或者其他类似方法，撒布于人体表面任何部位（皮肤、毛发、指甲、口唇等），以达到清洁、消除不良气味、护肤、美容和修饰目的的日用化学工业产品的制造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2683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口腔清洁用品制造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指用于口腔或牙齿清洁卫生制品的生产活动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2684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香料、香精制造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指具有香气和香味，用于调配香精的物质</w:t>
            </w:r>
            <w:r>
              <w:rPr>
                <w:rFonts w:ascii="Times New Roman" w:hAnsi="Times New Roman" w:eastAsia="宋体" w:cs="Times New Roman"/>
                <w:color w:val="auto"/>
                <w:kern w:val="0"/>
                <w:sz w:val="20"/>
                <w:szCs w:val="20"/>
                <w:highlight w:val="none"/>
              </w:rPr>
              <w:t>——</w:t>
            </w:r>
            <w:r>
              <w:rPr>
                <w:rFonts w:hint="eastAsia" w:ascii="Times New Roman" w:hAnsi="Times New Roman" w:eastAsia="宋体" w:cs="Times New Roman"/>
                <w:color w:val="auto"/>
                <w:kern w:val="0"/>
                <w:sz w:val="20"/>
                <w:szCs w:val="20"/>
                <w:highlight w:val="none"/>
              </w:rPr>
              <w:t>香料的生产，以及以多种天然香料和合成香料为主要原料，并与其他辅料一起按合理的配方和工艺调配制得的具有一定香型的复杂混合物，主要用于各类加香产品中的香精的生产活动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2689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其他日用化学产品制造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指室内散香或除臭制品，光洁用品，擦洗膏及类似制品，动物用化妆盥洗品，火柴，蜡烛及类似制品等日用化学产品的生产活动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restart"/>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kern w:val="0"/>
                <w:sz w:val="20"/>
                <w:szCs w:val="20"/>
                <w:highlight w:val="none"/>
              </w:rPr>
              <w:t>三、现代生物医药</w:t>
            </w: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7、医药制造</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2710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化学药品原料药制造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指供进一步加工化学药品制剂、生物药品制剂所需的原料药生产活动（高端化学药、原料药）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2720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化学药品制剂制造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指直接用于人体疾病防治、诊断的化学药品制剂的制造（原料药）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2730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中药饮品加工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指对采集的</w:t>
            </w:r>
            <w:r>
              <w:rPr>
                <w:rFonts w:hint="eastAsia" w:ascii="Times New Roman" w:hAnsi="Times New Roman" w:cs="Times New Roman"/>
                <w:color w:val="auto"/>
                <w:kern w:val="0"/>
                <w:sz w:val="20"/>
                <w:szCs w:val="20"/>
                <w:highlight w:val="none"/>
                <w:lang w:eastAsia="zh-CN"/>
              </w:rPr>
              <w:t>天然</w:t>
            </w:r>
            <w:r>
              <w:rPr>
                <w:rFonts w:hint="default" w:ascii="Times New Roman" w:hAnsi="Times New Roman" w:eastAsia="宋体" w:cs="Times New Roman"/>
                <w:color w:val="auto"/>
                <w:kern w:val="0"/>
                <w:sz w:val="20"/>
                <w:szCs w:val="20"/>
                <w:highlight w:val="none"/>
              </w:rPr>
              <w:t>或人工种植、养殖的动物、植物和矿物的药材部位进行加工、炮制，使其符合中药处方调剂或中成药生产使用的活动（生物制药）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2740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中成药生产</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以中药材为原料，在中医药理论指导下，为了预防及治疗疾病的需要，按规定的处方和制剂工艺将其加工制成一定剂型的中药制品的生产活动（现代中药）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2750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兽用药品制造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用于动物疾病防治医药的制造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276</w:t>
            </w:r>
            <w:r>
              <w:rPr>
                <w:rFonts w:hint="eastAsia" w:ascii="Times New Roman" w:hAnsi="Times New Roman" w:cs="Times New Roman"/>
                <w:color w:val="auto"/>
                <w:kern w:val="0"/>
                <w:sz w:val="20"/>
                <w:szCs w:val="20"/>
                <w:highlight w:val="none"/>
                <w:lang w:val="en-US" w:eastAsia="zh-CN"/>
              </w:rPr>
              <w:t>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生物药品制造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eastAsia" w:ascii="Times New Roman" w:hAnsi="Times New Roman" w:cs="Times New Roman"/>
                <w:color w:val="auto"/>
                <w:kern w:val="0"/>
                <w:sz w:val="20"/>
                <w:szCs w:val="20"/>
                <w:highlight w:val="none"/>
                <w:lang w:eastAsia="zh-CN"/>
              </w:rPr>
              <w:t>指利用生物技术生产生物化学药品的生产活动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cs="Times New Roman"/>
                <w:color w:val="auto"/>
                <w:kern w:val="0"/>
                <w:sz w:val="20"/>
                <w:szCs w:val="20"/>
                <w:highlight w:val="none"/>
                <w:lang w:val="en-US" w:eastAsia="zh-CN"/>
              </w:rPr>
              <w:t>2762</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基因工程药物和疫苗制造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基因工程药物和疫苗制造活动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2770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卫生材料及医药用品制造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指卫生材料、外科敷料以及其他内、外科用医药制品的制造（原料药）。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2780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药用辅料及包装材料</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rPr>
            </w:pPr>
            <w:r>
              <w:rPr>
                <w:rFonts w:hint="eastAsia" w:ascii="Times New Roman" w:hAnsi="Times New Roman" w:eastAsia="宋体" w:cs="Times New Roman"/>
                <w:i w:val="0"/>
                <w:iCs w:val="0"/>
                <w:color w:val="auto"/>
                <w:kern w:val="0"/>
                <w:sz w:val="20"/>
                <w:szCs w:val="20"/>
                <w:highlight w:val="none"/>
                <w:u w:val="none"/>
                <w:lang w:val="en-US" w:eastAsia="zh-CN" w:bidi="ar"/>
              </w:rPr>
              <w:t>指药品用辅料和包装材料等制造</w:t>
            </w:r>
            <w:r>
              <w:rPr>
                <w:rFonts w:hint="eastAsia" w:ascii="Times New Roman" w:hAnsi="Times New Roman" w:cs="Times New Roman"/>
                <w:i w:val="0"/>
                <w:iCs w:val="0"/>
                <w:color w:val="auto"/>
                <w:kern w:val="0"/>
                <w:sz w:val="20"/>
                <w:szCs w:val="20"/>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8</w:t>
            </w:r>
            <w:r>
              <w:rPr>
                <w:rFonts w:hint="default" w:ascii="Times New Roman" w:hAnsi="Times New Roman" w:eastAsia="宋体" w:cs="Times New Roman"/>
                <w:color w:val="auto"/>
                <w:kern w:val="0"/>
                <w:sz w:val="20"/>
                <w:szCs w:val="20"/>
                <w:highlight w:val="none"/>
              </w:rPr>
              <w:t>、医疗仪器及器械</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医疗诊断、监护及治疗设备制造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指用于内科、外科、眼科、妇产科等医疗专用诊断、监护、治疗等方面的设备制造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口腔科用设备及器具制造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指用于口腔治疗、修补设备及器械的制造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医疗实验室及医用消毒设备和器具制造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指医疗实验室或医疗用消毒、灭菌设备及器具的制造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医疗、外科及兽医用器械制造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指各种手术室、急救室、诊疗室等医疗专用及兽医用手术器械、医疗诊断用品和医疗用具的制造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机械治疗及病房护理设备制造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指各种治疗设备、病房护理及康复专用设备的制造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康复辅具制造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改善、补偿、替代人体功能和辅助性治疗康复辅助器具的制造，适用于残疾人和老年人生活护理、运动康复、教育和就业辅助、残疾儿童康复等；主要包括假肢、矫形器、轮椅和助行器、助听器和人工耳蜗等产品和零部件的制造，也包括智能仿生假肢、远程康复系统、虚拟现实康复训练设备等其他康复类产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3587</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眼镜制造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指眼镜成镜、眼镜框架和零配件、眼镜镜片、角膜接触镜（隐形眼镜）及护理产品的制造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3589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其他医疗设备及器械制造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指外科、牙科等医疗专用及兽医用家具器械的制造和人工器官及植（介）入器械制造，以及其他未列明的医疗设备及器械的制造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9、医药研发和实验</w:t>
            </w:r>
            <w:r>
              <w:rPr>
                <w:rFonts w:hint="default" w:cs="Times New Roman"/>
                <w:color w:val="auto"/>
                <w:kern w:val="0"/>
                <w:sz w:val="20"/>
                <w:szCs w:val="20"/>
                <w:highlight w:val="none"/>
                <w:lang w:eastAsia="zh-CN"/>
              </w:rPr>
              <w:t>及检测服务</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2"/>
                <w:sz w:val="20"/>
                <w:szCs w:val="20"/>
                <w:highlight w:val="none"/>
                <w:lang w:val="en-US" w:eastAsia="zh-CN" w:bidi="ar-SA"/>
              </w:rPr>
            </w:pPr>
            <w:r>
              <w:rPr>
                <w:rFonts w:ascii="Times New Roman" w:hAnsi="Times New Roman" w:eastAsia="宋体" w:cs="Times New Roman"/>
                <w:color w:val="auto"/>
                <w:kern w:val="0"/>
                <w:sz w:val="20"/>
                <w:szCs w:val="20"/>
                <w:highlight w:val="none"/>
              </w:rPr>
              <w:t>7310</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自然科学研究和实验发展</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数学研究、信息科学与系统科学研究、力学研究、物理学研究、天文学研究、化学研究、地球科学研究、生物学研究、其他自然科学研究与试验发展（高端化学药、生物制药、现代中药、原料药）。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7340</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医学研究和试验发展</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基础医学研究、药学研究、临床医学研究、预防医学、中医学与中药学研究、其他医学研究与试验发展（高端化学药、生物制药、现代中药、原料药、医疗器械）。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val="en-US" w:eastAsia="zh-CN"/>
              </w:rPr>
            </w:pPr>
            <w:r>
              <w:rPr>
                <w:rFonts w:hint="eastAsia"/>
                <w:color w:val="auto"/>
                <w:highlight w:val="none"/>
                <w:lang w:val="en-US" w:eastAsia="zh-CN"/>
              </w:rPr>
              <w:t>7</w:t>
            </w:r>
            <w:r>
              <w:rPr>
                <w:rFonts w:hint="eastAsia"/>
                <w:color w:val="auto"/>
                <w:highlight w:val="none"/>
              </w:rPr>
              <w:t>452</w:t>
            </w:r>
            <w:r>
              <w:rPr>
                <w:rFonts w:hint="eastAsia"/>
                <w:color w:val="auto"/>
                <w:highlight w:val="none"/>
                <w:lang w:val="en-US" w:eastAsia="zh-CN"/>
              </w:rPr>
              <w:t>*</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eastAsia"/>
                <w:color w:val="auto"/>
                <w:highlight w:val="none"/>
              </w:rPr>
              <w:t>检测服务</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eastAsia"/>
                <w:color w:val="auto"/>
                <w:highlight w:val="none"/>
              </w:rPr>
              <w:t>质检技术服务，指药品质量检验等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080" w:type="dxa"/>
            <w:vMerge w:val="restart"/>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kern w:val="0"/>
                <w:sz w:val="20"/>
                <w:szCs w:val="20"/>
                <w:highlight w:val="none"/>
              </w:rPr>
              <w:t>四、深海</w:t>
            </w:r>
            <w:r>
              <w:rPr>
                <w:rFonts w:hint="default" w:ascii="Times New Roman" w:hAnsi="Times New Roman" w:cs="Times New Roman"/>
                <w:b/>
                <w:bCs/>
                <w:color w:val="auto"/>
                <w:kern w:val="0"/>
                <w:sz w:val="20"/>
                <w:szCs w:val="20"/>
                <w:highlight w:val="none"/>
                <w:lang w:eastAsia="zh-CN"/>
              </w:rPr>
              <w:t>装备</w:t>
            </w:r>
            <w:r>
              <w:rPr>
                <w:rFonts w:hint="default" w:ascii="Times New Roman" w:hAnsi="Times New Roman" w:eastAsia="宋体" w:cs="Times New Roman"/>
                <w:b/>
                <w:bCs/>
                <w:color w:val="auto"/>
                <w:kern w:val="0"/>
                <w:sz w:val="20"/>
                <w:szCs w:val="20"/>
                <w:highlight w:val="none"/>
              </w:rPr>
              <w:t>产业</w:t>
            </w: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10、海洋装备</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金属船舶制造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指以钢质、铝质等各种金属为主要材料，为民用或军事部门建造远洋、近海或内陆河湖的金属船舶的制造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非金属船舶制造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指以各种木材、水泥、玻璃钢等非金属材料，为民用或军事部门建造船舶的活动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娱乐船和运动船制造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指游艇和用于娱乐或运动的其他船只的制造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船用配套设备制造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指船用主机、辅机设备的制造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船舶改装</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指按规范要求对船舶船体、设备、系统、结构等改装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船舶拆除</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指船舶拆除活动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3737</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海洋工程装备制造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指海上工程、海底工程、近海工程的专用设备制造，不含港口工程设备以及船舶、潜水、救捞等设备制造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3739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航标器材及其他相关装置制造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指用于航标的各种器材，以及不以航行为主的船只的制造，不含海上浮动装置的制造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3791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潜水装备制造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指潜水装置的制造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3792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水下救捞装备制造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指水下作业、救捞装备的制造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3799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其他未列明运输设备制造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指手推车辆、牲畜牵引车辆的制造，以及上述未列明的交通运输设备的制造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3513</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深海石油钻探设备制造</w:t>
            </w:r>
          </w:p>
        </w:tc>
        <w:tc>
          <w:tcPr>
            <w:tcW w:w="5184" w:type="dxa"/>
            <w:tcBorders>
              <w:tl2br w:val="nil"/>
              <w:tr2bl w:val="nil"/>
            </w:tcBorders>
            <w:noWrap w:val="0"/>
            <w:vAlign w:val="center"/>
          </w:tcPr>
          <w:p>
            <w:pPr>
              <w:rPr>
                <w:rFonts w:ascii="Times New Roman" w:hAnsi="Times New Roman" w:eastAsia="宋体" w:cs="Times New Roman"/>
                <w:color w:val="auto"/>
                <w:sz w:val="20"/>
                <w:szCs w:val="20"/>
                <w:highlight w:val="none"/>
              </w:rPr>
            </w:pPr>
            <w:r>
              <w:rPr>
                <w:rFonts w:hint="default" w:ascii="Times New Roman" w:hAnsi="Times New Roman" w:eastAsia="华文宋体" w:cs="Times New Roman"/>
                <w:color w:val="auto"/>
                <w:sz w:val="18"/>
                <w:szCs w:val="18"/>
                <w:highlight w:val="none"/>
              </w:rPr>
              <w:t>指对</w:t>
            </w:r>
            <w:r>
              <w:rPr>
                <w:rFonts w:hint="default" w:ascii="Times New Roman" w:hAnsi="Times New Roman" w:eastAsia="华文宋体" w:cs="Times New Roman"/>
                <w:color w:val="auto"/>
                <w:sz w:val="18"/>
                <w:szCs w:val="18"/>
                <w:highlight w:val="none"/>
                <w:lang w:val="en-US" w:eastAsia="zh-CN"/>
              </w:rPr>
              <w:t>1500</w:t>
            </w:r>
            <w:r>
              <w:rPr>
                <w:rFonts w:hint="default" w:ascii="Times New Roman" w:hAnsi="Times New Roman" w:eastAsia="华文宋体" w:cs="Times New Roman"/>
                <w:color w:val="auto"/>
                <w:sz w:val="18"/>
                <w:szCs w:val="18"/>
                <w:highlight w:val="none"/>
              </w:rPr>
              <w:t>m以上海洋的石油、天然气等专用开采设备的制造；不包括1500</w:t>
            </w:r>
            <w:r>
              <w:rPr>
                <w:rFonts w:ascii="Times New Roman" w:hAnsi="Times New Roman" w:eastAsia="华文宋体" w:cs="Times New Roman"/>
                <w:color w:val="auto"/>
                <w:sz w:val="18"/>
                <w:szCs w:val="18"/>
                <w:highlight w:val="none"/>
              </w:rPr>
              <w:t>m</w:t>
            </w:r>
            <w:r>
              <w:rPr>
                <w:rFonts w:hint="default" w:ascii="Times New Roman" w:hAnsi="Times New Roman" w:eastAsia="华文宋体" w:cs="Times New Roman"/>
                <w:color w:val="auto"/>
                <w:sz w:val="18"/>
                <w:szCs w:val="18"/>
                <w:highlight w:val="none"/>
              </w:rPr>
              <w:t>以下浅海和陆地石油、天然气勘探开采平台及相关漂浮设备的制造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3575</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渔业机械制造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其他海洋相关设备与产品制造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3592</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地质勘查专用设备制造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指地质勘查（勘探）专用设备的制造；不包括通用钻采、挖掘机械的制造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3811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发电机及发电机组制造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海上风力发电机（组）、海上风力发电风轮叶片、变流器、变压器等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11</w:t>
            </w:r>
            <w:r>
              <w:rPr>
                <w:rFonts w:hint="default" w:ascii="Times New Roman" w:hAnsi="Times New Roman" w:eastAsia="宋体" w:cs="Times New Roman"/>
                <w:color w:val="auto"/>
                <w:kern w:val="0"/>
                <w:sz w:val="20"/>
                <w:szCs w:val="20"/>
                <w:highlight w:val="none"/>
              </w:rPr>
              <w:t>、海洋工程建筑</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4831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海洋油气资源开发利用工程建筑</w:t>
            </w:r>
          </w:p>
        </w:tc>
        <w:tc>
          <w:tcPr>
            <w:tcW w:w="5184" w:type="dxa"/>
            <w:vMerge w:val="restart"/>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 xml:space="preserve"> </w:t>
            </w:r>
            <w:r>
              <w:rPr>
                <w:rFonts w:hint="default" w:ascii="Times New Roman" w:hAnsi="Times New Roman" w:eastAsia="宋体" w:cs="Times New Roman"/>
                <w:color w:val="auto"/>
                <w:kern w:val="0"/>
                <w:sz w:val="20"/>
                <w:szCs w:val="20"/>
                <w:highlight w:val="none"/>
              </w:rPr>
              <w:t>指海上工程、海底工程、近海工程建筑活动，不含港口工程建筑活动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4832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海洋能源开发利用工程建筑</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4833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海底隧道工程建筑</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4834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海底设施铺设工程建筑</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4839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其他海洋工程建筑</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五、</w:t>
            </w:r>
            <w:r>
              <w:rPr>
                <w:rFonts w:hint="eastAsia" w:ascii="Times New Roman" w:hAnsi="Times New Roman" w:cs="Times New Roman"/>
                <w:b/>
                <w:bCs/>
                <w:color w:val="auto"/>
                <w:sz w:val="20"/>
                <w:szCs w:val="20"/>
                <w:highlight w:val="none"/>
                <w:lang w:eastAsia="zh-CN"/>
              </w:rPr>
              <w:t>高新</w:t>
            </w:r>
            <w:r>
              <w:rPr>
                <w:rFonts w:hint="default" w:ascii="Times New Roman" w:hAnsi="Times New Roman" w:eastAsia="宋体" w:cs="Times New Roman"/>
                <w:b/>
                <w:bCs/>
                <w:color w:val="auto"/>
                <w:sz w:val="20"/>
                <w:szCs w:val="20"/>
                <w:highlight w:val="none"/>
                <w:lang w:eastAsia="zh-CN"/>
              </w:rPr>
              <w:t>育种</w:t>
            </w:r>
            <w:r>
              <w:rPr>
                <w:rFonts w:hint="eastAsia" w:ascii="Times New Roman" w:hAnsi="Times New Roman" w:cs="Times New Roman"/>
                <w:b/>
                <w:bCs/>
                <w:color w:val="auto"/>
                <w:sz w:val="20"/>
                <w:szCs w:val="20"/>
                <w:highlight w:val="none"/>
                <w:lang w:eastAsia="zh-CN"/>
              </w:rPr>
              <w:t>及服务</w:t>
            </w:r>
            <w:r>
              <w:rPr>
                <w:rFonts w:hint="default" w:ascii="Times New Roman" w:hAnsi="Times New Roman" w:eastAsia="宋体" w:cs="Times New Roman"/>
                <w:b/>
                <w:bCs/>
                <w:color w:val="auto"/>
                <w:sz w:val="20"/>
                <w:szCs w:val="20"/>
                <w:highlight w:val="none"/>
                <w:lang w:eastAsia="zh-CN"/>
              </w:rPr>
              <w:t>产业</w:t>
            </w:r>
          </w:p>
        </w:tc>
        <w:tc>
          <w:tcPr>
            <w:tcW w:w="1195" w:type="dxa"/>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7529" w:type="dxa"/>
            <w:gridSpan w:val="3"/>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lang w:eastAsia="zh-CN"/>
              </w:rPr>
            </w:pPr>
            <w:r>
              <w:rPr>
                <w:rFonts w:ascii="Times New Roman" w:hAnsi="Times New Roman" w:eastAsia="宋体" w:cs="Times New Roman"/>
                <w:i w:val="0"/>
                <w:iCs w:val="0"/>
                <w:caps w:val="0"/>
                <w:color w:val="auto"/>
                <w:spacing w:val="0"/>
                <w:kern w:val="0"/>
                <w:sz w:val="20"/>
                <w:szCs w:val="20"/>
                <w:highlight w:val="none"/>
                <w:shd w:val="clear" w:fill="auto"/>
              </w:rPr>
              <w:t>辖区内</w:t>
            </w:r>
            <w:r>
              <w:rPr>
                <w:rFonts w:hint="eastAsia" w:ascii="Times New Roman" w:hAnsi="Times New Roman"/>
                <w:color w:val="auto"/>
                <w:kern w:val="0"/>
                <w:sz w:val="20"/>
                <w:szCs w:val="20"/>
                <w:highlight w:val="none"/>
                <w:shd w:val="clear" w:fill="auto"/>
              </w:rPr>
              <w:t>高新育种及服务产业名录</w:t>
            </w:r>
            <w:r>
              <w:rPr>
                <w:rFonts w:hint="eastAsia" w:ascii="Times New Roman" w:hAnsi="Times New Roman"/>
                <w:color w:val="auto"/>
                <w:kern w:val="0"/>
                <w:sz w:val="20"/>
                <w:szCs w:val="20"/>
                <w:highlight w:val="none"/>
                <w:shd w:val="clear" w:fill="auto"/>
                <w:lang w:eastAsia="zh-CN"/>
              </w:rPr>
              <w:t>中</w:t>
            </w:r>
            <w:r>
              <w:rPr>
                <w:rFonts w:ascii="Times New Roman" w:hAnsi="Times New Roman" w:eastAsia="宋体" w:cs="Times New Roman"/>
                <w:i w:val="0"/>
                <w:iCs w:val="0"/>
                <w:caps w:val="0"/>
                <w:color w:val="auto"/>
                <w:spacing w:val="0"/>
                <w:kern w:val="0"/>
                <w:sz w:val="20"/>
                <w:szCs w:val="20"/>
                <w:highlight w:val="none"/>
                <w:shd w:val="clear" w:fill="auto"/>
              </w:rPr>
              <w:t>的调查单位。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080" w:type="dxa"/>
            <w:vMerge w:val="restart"/>
            <w:tcBorders>
              <w:tl2br w:val="nil"/>
              <w:tr2bl w:val="nil"/>
            </w:tcBorders>
            <w:noWrap w:val="0"/>
            <w:vAlign w:val="center"/>
          </w:tcPr>
          <w:p>
            <w:pPr>
              <w:widowControl/>
              <w:jc w:val="left"/>
              <w:textAlignment w:val="center"/>
              <w:rPr>
                <w:rFonts w:ascii="Times New Roman" w:hAnsi="Times New Roman" w:eastAsia="宋体" w:cs="Times New Roman"/>
                <w:b/>
                <w:bCs/>
                <w:color w:val="auto"/>
                <w:sz w:val="20"/>
                <w:szCs w:val="20"/>
                <w:highlight w:val="none"/>
              </w:rPr>
            </w:pPr>
            <w:r>
              <w:rPr>
                <w:rFonts w:hint="default" w:ascii="Times New Roman" w:hAnsi="Times New Roman" w:cs="Times New Roman"/>
                <w:b/>
                <w:bCs/>
                <w:color w:val="auto"/>
                <w:kern w:val="0"/>
                <w:sz w:val="20"/>
                <w:szCs w:val="20"/>
                <w:highlight w:val="none"/>
                <w:lang w:eastAsia="zh-CN"/>
              </w:rPr>
              <w:t>六</w:t>
            </w:r>
            <w:r>
              <w:rPr>
                <w:rFonts w:hint="default" w:ascii="Times New Roman" w:hAnsi="Times New Roman" w:eastAsia="宋体" w:cs="Times New Roman"/>
                <w:b/>
                <w:bCs/>
                <w:color w:val="auto"/>
                <w:kern w:val="0"/>
                <w:sz w:val="20"/>
                <w:szCs w:val="20"/>
                <w:highlight w:val="none"/>
              </w:rPr>
              <w:t>、航</w:t>
            </w:r>
            <w:r>
              <w:rPr>
                <w:rFonts w:hint="default" w:ascii="Times New Roman" w:hAnsi="Times New Roman" w:cs="Times New Roman"/>
                <w:b/>
                <w:bCs/>
                <w:color w:val="auto"/>
                <w:kern w:val="0"/>
                <w:sz w:val="20"/>
                <w:szCs w:val="20"/>
                <w:highlight w:val="none"/>
                <w:lang w:eastAsia="zh-CN"/>
              </w:rPr>
              <w:t>空航</w:t>
            </w:r>
            <w:r>
              <w:rPr>
                <w:rFonts w:hint="default" w:ascii="Times New Roman" w:hAnsi="Times New Roman" w:eastAsia="宋体" w:cs="Times New Roman"/>
                <w:b/>
                <w:bCs/>
                <w:color w:val="auto"/>
                <w:kern w:val="0"/>
                <w:sz w:val="20"/>
                <w:szCs w:val="20"/>
                <w:highlight w:val="none"/>
              </w:rPr>
              <w:t>天</w:t>
            </w:r>
            <w:r>
              <w:rPr>
                <w:rFonts w:hint="eastAsia" w:ascii="Times New Roman" w:hAnsi="Times New Roman" w:cs="Times New Roman"/>
                <w:b/>
                <w:bCs/>
                <w:color w:val="auto"/>
                <w:kern w:val="0"/>
                <w:sz w:val="20"/>
                <w:szCs w:val="20"/>
                <w:highlight w:val="none"/>
                <w:lang w:eastAsia="zh-CN"/>
              </w:rPr>
              <w:t>高新</w:t>
            </w:r>
            <w:r>
              <w:rPr>
                <w:rFonts w:hint="default" w:ascii="Times New Roman" w:hAnsi="Times New Roman" w:eastAsia="宋体" w:cs="Times New Roman"/>
                <w:b/>
                <w:bCs/>
                <w:color w:val="auto"/>
                <w:kern w:val="0"/>
                <w:sz w:val="20"/>
                <w:szCs w:val="20"/>
                <w:highlight w:val="none"/>
              </w:rPr>
              <w:t>产业</w:t>
            </w: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12</w:t>
            </w:r>
            <w:r>
              <w:rPr>
                <w:rFonts w:hint="default" w:ascii="Times New Roman" w:hAnsi="Times New Roman" w:eastAsia="宋体" w:cs="Times New Roman"/>
                <w:color w:val="auto"/>
                <w:kern w:val="0"/>
                <w:sz w:val="20"/>
                <w:szCs w:val="20"/>
                <w:highlight w:val="none"/>
              </w:rPr>
              <w:t>、航天装备</w:t>
            </w:r>
            <w:r>
              <w:rPr>
                <w:rFonts w:hint="default" w:ascii="Times New Roman" w:hAnsi="Times New Roman" w:cs="Times New Roman"/>
                <w:color w:val="auto"/>
                <w:kern w:val="0"/>
                <w:sz w:val="20"/>
                <w:szCs w:val="20"/>
                <w:highlight w:val="none"/>
                <w:lang w:eastAsia="zh-CN"/>
              </w:rPr>
              <w:t>制造</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3742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航天器及运载火箭制造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航天器及运载火箭制造，深空探测装备制造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3743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航天相关设备制造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包括航天试验专用设备设施（宇航模拟设备、航天风洞、电磁、真空专用设备设施、其他航天试验专用设备设施）和总装调试测试设备（航天器总装调试测试设备、运载火箭总装调试测试设备）等专用设备、设施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default" w:cs="Times New Roman"/>
                <w:color w:val="auto"/>
                <w:kern w:val="0"/>
                <w:sz w:val="20"/>
                <w:szCs w:val="20"/>
                <w:highlight w:val="none"/>
                <w:lang w:val="en-US" w:eastAsia="zh-CN"/>
              </w:rPr>
              <w:t>13</w:t>
            </w:r>
            <w:r>
              <w:rPr>
                <w:rFonts w:hint="default" w:ascii="Times New Roman" w:hAnsi="Times New Roman" w:eastAsia="宋体" w:cs="Times New Roman"/>
                <w:color w:val="auto"/>
                <w:kern w:val="0"/>
                <w:sz w:val="20"/>
                <w:szCs w:val="20"/>
                <w:highlight w:val="none"/>
              </w:rPr>
              <w:t>、航空装备制造</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374</w:t>
            </w:r>
            <w:r>
              <w:rPr>
                <w:rFonts w:hint="default" w:ascii="Times New Roman" w:hAnsi="Times New Roman" w:eastAsia="宋体" w:cs="Times New Roman"/>
                <w:color w:val="auto"/>
                <w:kern w:val="0"/>
                <w:sz w:val="20"/>
                <w:szCs w:val="20"/>
                <w:highlight w:val="none"/>
              </w:rPr>
              <w:t>1</w:t>
            </w:r>
          </w:p>
          <w:p>
            <w:pPr>
              <w:widowControl/>
              <w:jc w:val="center"/>
              <w:textAlignment w:val="center"/>
              <w:rPr>
                <w:rFonts w:ascii="Times New Roman" w:hAnsi="Times New Roman" w:eastAsia="宋体" w:cs="Times New Roman"/>
                <w:color w:val="auto"/>
                <w:kern w:val="0"/>
                <w:sz w:val="20"/>
                <w:szCs w:val="20"/>
                <w:highlight w:val="none"/>
                <w:lang w:val="en-US" w:eastAsia="zh-CN" w:bidi="ar-SA"/>
              </w:rPr>
            </w:pP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飞机制造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指在大气同温层以内飞行的用于运货或载客，用于国防，以及用于体育运动或其他用途的各种飞机及其零件的制造，包括飞机发动机的制造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3744</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航空相关设备制造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包括自动驾驶仪和惯性器件专用设备、航空专用发动机加工装调专用设等航空相关设备制造活动：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3749</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其他航空航天器制造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包括飞行汽车等飞行器的组装和制造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3963</w:t>
            </w:r>
          </w:p>
        </w:tc>
        <w:tc>
          <w:tcPr>
            <w:tcW w:w="1145" w:type="dxa"/>
            <w:tcBorders>
              <w:tl2br w:val="nil"/>
              <w:tr2bl w:val="nil"/>
            </w:tcBorders>
            <w:noWrap w:val="0"/>
            <w:vAlign w:val="center"/>
          </w:tcPr>
          <w:p>
            <w:pPr>
              <w:keepNext w:val="0"/>
              <w:keepLines w:val="0"/>
              <w:widowControl/>
              <w:suppressLineNumbers w:val="0"/>
              <w:jc w:val="left"/>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智能无人飞行器制造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指按照国家有关安全规定标准，经允许生产并主要用于娱乐、科普等的智能无人飞行器的制造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14</w:t>
            </w:r>
            <w:r>
              <w:rPr>
                <w:rFonts w:hint="default" w:ascii="Times New Roman" w:hAnsi="Times New Roman" w:eastAsia="宋体" w:cs="Times New Roman"/>
                <w:color w:val="auto"/>
                <w:kern w:val="0"/>
                <w:sz w:val="20"/>
                <w:szCs w:val="20"/>
                <w:highlight w:val="none"/>
              </w:rPr>
              <w:t>、航空航天装备修理</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4343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航空航天器修理</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不包括航空航天器回厂修理和发动机修理活动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default" w:cs="Times New Roman"/>
                <w:color w:val="auto"/>
                <w:kern w:val="0"/>
                <w:sz w:val="20"/>
                <w:szCs w:val="20"/>
                <w:highlight w:val="none"/>
                <w:lang w:val="en-US" w:eastAsia="zh-CN"/>
              </w:rPr>
              <w:t>15</w:t>
            </w:r>
            <w:r>
              <w:rPr>
                <w:rFonts w:hint="eastAsia" w:cs="Times New Roman"/>
                <w:color w:val="auto"/>
                <w:kern w:val="0"/>
                <w:sz w:val="20"/>
                <w:szCs w:val="20"/>
                <w:highlight w:val="none"/>
                <w:lang w:val="en-US" w:eastAsia="zh-CN"/>
              </w:rPr>
              <w:t>、</w:t>
            </w:r>
            <w:r>
              <w:rPr>
                <w:rFonts w:hint="default" w:ascii="Times New Roman" w:hAnsi="Times New Roman" w:eastAsia="宋体" w:cs="Times New Roman"/>
                <w:color w:val="auto"/>
                <w:kern w:val="0"/>
                <w:sz w:val="20"/>
                <w:szCs w:val="20"/>
                <w:highlight w:val="none"/>
              </w:rPr>
              <w:t>.航空航天服务相关产业</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6339</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卫星服务</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卫星传输服务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7320</w:t>
            </w:r>
          </w:p>
        </w:tc>
        <w:tc>
          <w:tcPr>
            <w:tcW w:w="1145" w:type="dxa"/>
            <w:tcBorders>
              <w:tl2br w:val="nil"/>
              <w:tr2bl w:val="nil"/>
            </w:tcBorders>
            <w:noWrap w:val="0"/>
            <w:vAlign w:val="center"/>
          </w:tcPr>
          <w:p>
            <w:pPr>
              <w:keepNext w:val="0"/>
              <w:keepLines w:val="0"/>
              <w:widowControl/>
              <w:suppressLineNumbers w:val="0"/>
              <w:jc w:val="both"/>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工程和技术研究和试验发展</w:t>
            </w:r>
          </w:p>
        </w:tc>
        <w:tc>
          <w:tcPr>
            <w:tcW w:w="5184" w:type="dxa"/>
            <w:tcBorders>
              <w:tl2br w:val="nil"/>
              <w:tr2bl w:val="nil"/>
            </w:tcBorders>
            <w:noWrap w:val="0"/>
            <w:vAlign w:val="center"/>
          </w:tcPr>
          <w:p>
            <w:pPr>
              <w:keepNext w:val="0"/>
              <w:keepLines w:val="0"/>
              <w:widowControl/>
              <w:suppressLineNumbers w:val="0"/>
              <w:jc w:val="both"/>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商业航天及配套产业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080" w:type="dxa"/>
            <w:vMerge w:val="restart"/>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r>
              <w:rPr>
                <w:rFonts w:hint="default" w:ascii="Times New Roman" w:hAnsi="Times New Roman" w:cs="Times New Roman"/>
                <w:b/>
                <w:bCs/>
                <w:color w:val="auto"/>
                <w:kern w:val="0"/>
                <w:sz w:val="20"/>
                <w:szCs w:val="20"/>
                <w:highlight w:val="none"/>
                <w:lang w:eastAsia="zh-CN"/>
              </w:rPr>
              <w:t>七</w:t>
            </w:r>
            <w:r>
              <w:rPr>
                <w:rFonts w:hint="default" w:ascii="Times New Roman" w:hAnsi="Times New Roman" w:eastAsia="宋体" w:cs="Times New Roman"/>
                <w:b/>
                <w:bCs/>
                <w:color w:val="auto"/>
                <w:kern w:val="0"/>
                <w:sz w:val="20"/>
                <w:szCs w:val="20"/>
                <w:highlight w:val="none"/>
              </w:rPr>
              <w:t>、清洁能源产业</w:t>
            </w:r>
          </w:p>
        </w:tc>
        <w:tc>
          <w:tcPr>
            <w:tcW w:w="1195" w:type="dxa"/>
            <w:tcBorders>
              <w:tl2br w:val="nil"/>
              <w:tr2bl w:val="nil"/>
            </w:tcBorders>
            <w:noWrap w:val="0"/>
            <w:vAlign w:val="center"/>
          </w:tcPr>
          <w:p>
            <w:pPr>
              <w:widowControl/>
              <w:jc w:val="center"/>
              <w:textAlignment w:val="center"/>
              <w:rPr>
                <w:rFonts w:ascii="Times New Roman" w:hAnsi="Times New Roman" w:eastAsia="宋体" w:cs="Times New Roman"/>
                <w:b/>
                <w:color w:val="auto"/>
                <w:sz w:val="20"/>
                <w:szCs w:val="20"/>
                <w:highlight w:val="none"/>
              </w:rPr>
            </w:pPr>
            <w:r>
              <w:rPr>
                <w:rFonts w:hint="eastAsia" w:cs="Times New Roman"/>
                <w:bCs/>
                <w:color w:val="auto"/>
                <w:kern w:val="0"/>
                <w:sz w:val="20"/>
                <w:szCs w:val="20"/>
                <w:highlight w:val="none"/>
                <w:lang w:val="en-US" w:eastAsia="zh-CN"/>
              </w:rPr>
              <w:t>16</w:t>
            </w:r>
            <w:r>
              <w:rPr>
                <w:rFonts w:hint="default" w:ascii="Times New Roman" w:hAnsi="Times New Roman" w:eastAsia="宋体" w:cs="Times New Roman"/>
                <w:bCs/>
                <w:color w:val="auto"/>
                <w:kern w:val="0"/>
                <w:sz w:val="20"/>
                <w:szCs w:val="20"/>
                <w:highlight w:val="none"/>
              </w:rPr>
              <w:t>、新能源汽车</w:t>
            </w:r>
          </w:p>
        </w:tc>
        <w:tc>
          <w:tcPr>
            <w:tcW w:w="1200" w:type="dxa"/>
            <w:tcBorders>
              <w:tl2br w:val="nil"/>
              <w:tr2bl w:val="nil"/>
            </w:tcBorders>
            <w:noWrap w:val="0"/>
            <w:vAlign w:val="center"/>
          </w:tcPr>
          <w:p>
            <w:pPr>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3612</w:t>
            </w:r>
          </w:p>
        </w:tc>
        <w:tc>
          <w:tcPr>
            <w:tcW w:w="1145" w:type="dxa"/>
            <w:tcBorders>
              <w:tl2br w:val="nil"/>
              <w:tr2bl w:val="nil"/>
            </w:tcBorders>
            <w:noWrap w:val="0"/>
            <w:vAlign w:val="center"/>
          </w:tcPr>
          <w:p>
            <w:pPr>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新能</w:t>
            </w:r>
            <w:r>
              <w:rPr>
                <w:rFonts w:hint="eastAsia" w:ascii="Times New Roman" w:hAnsi="Times New Roman" w:cs="Times New Roman"/>
                <w:color w:val="auto"/>
                <w:kern w:val="0"/>
                <w:sz w:val="20"/>
                <w:szCs w:val="20"/>
                <w:highlight w:val="none"/>
                <w:lang w:eastAsia="zh-CN"/>
              </w:rPr>
              <w:t>源汽</w:t>
            </w:r>
            <w:r>
              <w:rPr>
                <w:rFonts w:hint="eastAsia" w:ascii="Times New Roman" w:hAnsi="Times New Roman" w:eastAsia="宋体" w:cs="Times New Roman"/>
                <w:color w:val="auto"/>
                <w:kern w:val="0"/>
                <w:sz w:val="20"/>
                <w:szCs w:val="20"/>
                <w:highlight w:val="none"/>
              </w:rPr>
              <w:t>车整车制造</w:t>
            </w:r>
          </w:p>
        </w:tc>
        <w:tc>
          <w:tcPr>
            <w:tcW w:w="5184" w:type="dxa"/>
            <w:tcBorders>
              <w:tl2br w:val="nil"/>
              <w:tr2bl w:val="nil"/>
            </w:tcBorders>
            <w:noWrap w:val="0"/>
            <w:vAlign w:val="center"/>
          </w:tcPr>
          <w:p>
            <w:pP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指采用新型动力系统，完全或主要依靠新型能源驱动的汽车，包括插电式混合动力（含增程式）汽车、纯电动汽车和燃料电池电动汽车等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17</w:t>
            </w:r>
            <w:r>
              <w:rPr>
                <w:rFonts w:hint="default" w:ascii="Times New Roman" w:hAnsi="Times New Roman" w:eastAsia="宋体" w:cs="Times New Roman"/>
                <w:color w:val="auto"/>
                <w:kern w:val="0"/>
                <w:sz w:val="20"/>
                <w:szCs w:val="20"/>
                <w:highlight w:val="none"/>
              </w:rPr>
              <w:t>、清洁能源装备</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3413</w:t>
            </w:r>
          </w:p>
        </w:tc>
        <w:tc>
          <w:tcPr>
            <w:tcW w:w="1145" w:type="dxa"/>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汽轮机及辅机制造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太阳能材料、设备和生产装备制造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3415</w:t>
            </w:r>
          </w:p>
        </w:tc>
        <w:tc>
          <w:tcPr>
            <w:tcW w:w="1145" w:type="dxa"/>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风能原动设备制造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val="en-US" w:eastAsia="zh-CN" w:bidi="ar-SA"/>
              </w:rPr>
            </w:pPr>
            <w:r>
              <w:rPr>
                <w:rFonts w:hint="eastAsia" w:ascii="Calibri" w:hAnsi="Calibri" w:eastAsia="宋体" w:cs="Times New Roman"/>
                <w:color w:val="auto"/>
                <w:kern w:val="0"/>
                <w:sz w:val="20"/>
                <w:szCs w:val="20"/>
                <w:highlight w:val="none"/>
              </w:rPr>
              <w:t>指风能发电设备及其他风能原动设备制造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3419</w:t>
            </w:r>
          </w:p>
        </w:tc>
        <w:tc>
          <w:tcPr>
            <w:tcW w:w="1145" w:type="dxa"/>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其他原动设备制造</w:t>
            </w:r>
          </w:p>
        </w:tc>
        <w:tc>
          <w:tcPr>
            <w:tcW w:w="5184" w:type="dxa"/>
            <w:tcBorders>
              <w:tl2br w:val="nil"/>
              <w:tr2bl w:val="nil"/>
            </w:tcBorders>
            <w:noWrap w:val="0"/>
            <w:vAlign w:val="center"/>
          </w:tcPr>
          <w:p>
            <w:pP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包括潮汐能源原动机、原子能动力设备、太阳能源原动机、其他非电力相关原动机、生物质能原动力设备等其他原动设备制造活动；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3841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锂离子电池制造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指以锂离子嵌入化合物为正极材料电池的制造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3842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镍氢电池制造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指以储氢合金为负极材料，氢氧化镍为正极材料，电解液是含氢氧化锂（</w:t>
            </w:r>
            <w:r>
              <w:rPr>
                <w:rFonts w:ascii="Times New Roman" w:hAnsi="Times New Roman" w:eastAsia="宋体" w:cs="Times New Roman"/>
                <w:color w:val="auto"/>
                <w:kern w:val="0"/>
                <w:sz w:val="20"/>
                <w:szCs w:val="20"/>
                <w:highlight w:val="none"/>
              </w:rPr>
              <w:t>LiOH</w:t>
            </w:r>
            <w:r>
              <w:rPr>
                <w:rFonts w:hint="eastAsia" w:ascii="Times New Roman" w:hAnsi="Times New Roman" w:eastAsia="宋体" w:cs="Times New Roman"/>
                <w:color w:val="auto"/>
                <w:kern w:val="0"/>
                <w:sz w:val="20"/>
                <w:szCs w:val="20"/>
                <w:highlight w:val="none"/>
              </w:rPr>
              <w:t>）的氢氧化钾（</w:t>
            </w:r>
            <w:r>
              <w:rPr>
                <w:rFonts w:ascii="Times New Roman" w:hAnsi="Times New Roman" w:eastAsia="宋体" w:cs="Times New Roman"/>
                <w:color w:val="auto"/>
                <w:kern w:val="0"/>
                <w:sz w:val="20"/>
                <w:szCs w:val="20"/>
                <w:highlight w:val="none"/>
              </w:rPr>
              <w:t>KOH</w:t>
            </w:r>
            <w:r>
              <w:rPr>
                <w:rFonts w:hint="eastAsia" w:ascii="Times New Roman" w:hAnsi="Times New Roman" w:eastAsia="宋体" w:cs="Times New Roman"/>
                <w:color w:val="auto"/>
                <w:kern w:val="0"/>
                <w:sz w:val="20"/>
                <w:szCs w:val="20"/>
                <w:highlight w:val="none"/>
              </w:rPr>
              <w:t>）水溶液的电池的制造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3843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铅蓄电池制造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指以铅及氧化物为正负极材料，电解液为硫酸水溶液的电池制造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3844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锌锰电池制造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指以二氧化锰为正极，锌为负极的原电池的制造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3849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其他电池制造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超级电容器储能器件或装置</w:t>
            </w:r>
            <w:r>
              <w:rPr>
                <w:rFonts w:hint="eastAsia" w:ascii="Times New Roman" w:hAnsi="Times New Roman" w:cs="Times New Roman"/>
                <w:color w:val="auto"/>
                <w:kern w:val="0"/>
                <w:sz w:val="20"/>
                <w:szCs w:val="20"/>
                <w:highlight w:val="none"/>
                <w:lang w:eastAsia="zh-CN"/>
              </w:rPr>
              <w:t>等其他电池制造活动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18</w:t>
            </w:r>
            <w:r>
              <w:rPr>
                <w:rFonts w:hint="default" w:ascii="Times New Roman" w:hAnsi="Times New Roman" w:eastAsia="宋体" w:cs="Times New Roman"/>
                <w:color w:val="auto"/>
                <w:kern w:val="0"/>
                <w:sz w:val="20"/>
                <w:szCs w:val="20"/>
                <w:highlight w:val="none"/>
              </w:rPr>
              <w:t>、绿色及清洁电力</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rPr>
            </w:pPr>
            <w:r>
              <w:rPr>
                <w:rFonts w:hint="eastAsia" w:cs="Times New Roman"/>
                <w:color w:val="auto"/>
                <w:kern w:val="0"/>
                <w:sz w:val="20"/>
                <w:szCs w:val="20"/>
                <w:highlight w:val="none"/>
                <w:lang w:val="en-US" w:eastAsia="zh-CN"/>
              </w:rPr>
              <w:t>4411*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cs="Times New Roman"/>
                <w:color w:val="auto"/>
                <w:kern w:val="0"/>
                <w:sz w:val="20"/>
                <w:szCs w:val="20"/>
                <w:highlight w:val="none"/>
                <w:lang w:eastAsia="zh-CN"/>
              </w:rPr>
              <w:t>天然气发电</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cs="Times New Roman"/>
                <w:color w:val="auto"/>
                <w:kern w:val="0"/>
                <w:sz w:val="20"/>
                <w:szCs w:val="20"/>
                <w:highlight w:val="none"/>
                <w:lang w:eastAsia="zh-CN"/>
              </w:rPr>
              <w:t>指清洁能源天然气发电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4412</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热电联产</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指既发电又提供热力的生产活动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4413</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水力发电</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指通过建设水电站、水利枢纽、航电枢纽等工程、将水能转换成电能的生产活动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4414</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核力发电</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指利用核反应堆中重核裂变所释放出的热能转换成电能的生产活动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4415</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风力发电</w:t>
            </w:r>
          </w:p>
        </w:tc>
        <w:tc>
          <w:tcPr>
            <w:tcW w:w="5184" w:type="dxa"/>
            <w:tcBorders>
              <w:tl2br w:val="nil"/>
              <w:tr2bl w:val="nil"/>
            </w:tcBorders>
            <w:noWrap w:val="0"/>
            <w:vAlign w:val="center"/>
          </w:tcPr>
          <w:p>
            <w:pPr>
              <w:rPr>
                <w:rFonts w:ascii="Times New Roman" w:hAnsi="Times New Roman" w:eastAsia="宋体" w:cs="Times New Roman"/>
                <w:color w:val="auto"/>
                <w:sz w:val="20"/>
                <w:szCs w:val="20"/>
                <w:highlight w:val="none"/>
              </w:rPr>
            </w:pPr>
            <w:r>
              <w:rPr>
                <w:rFonts w:hint="eastAsia" w:ascii="Times New Roman" w:hAnsi="Times New Roman" w:cs="Times New Roman"/>
                <w:color w:val="auto"/>
                <w:sz w:val="20"/>
                <w:szCs w:val="20"/>
                <w:highlight w:val="none"/>
                <w:lang w:eastAsia="zh-CN"/>
              </w:rPr>
              <w:t>指</w:t>
            </w:r>
            <w:r>
              <w:rPr>
                <w:rFonts w:hint="eastAsia" w:ascii="Times New Roman" w:hAnsi="Times New Roman" w:eastAsia="宋体" w:cs="Times New Roman"/>
                <w:color w:val="auto"/>
                <w:sz w:val="20"/>
                <w:szCs w:val="20"/>
                <w:highlight w:val="none"/>
              </w:rPr>
              <w:t>风力发电活动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4416</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太阳能发电</w:t>
            </w:r>
          </w:p>
        </w:tc>
        <w:tc>
          <w:tcPr>
            <w:tcW w:w="5184" w:type="dxa"/>
            <w:tcBorders>
              <w:tl2br w:val="nil"/>
              <w:tr2bl w:val="nil"/>
            </w:tcBorders>
            <w:noWrap w:val="0"/>
            <w:vAlign w:val="center"/>
          </w:tcPr>
          <w:p>
            <w:pPr>
              <w:rPr>
                <w:rFonts w:ascii="Times New Roman" w:hAnsi="Times New Roman" w:eastAsia="宋体" w:cs="Times New Roman"/>
                <w:color w:val="auto"/>
                <w:sz w:val="20"/>
                <w:szCs w:val="20"/>
                <w:highlight w:val="none"/>
              </w:rPr>
            </w:pPr>
            <w:r>
              <w:rPr>
                <w:rFonts w:hint="eastAsia" w:ascii="Times New Roman" w:hAnsi="Times New Roman" w:cs="Times New Roman"/>
                <w:color w:val="auto"/>
                <w:sz w:val="20"/>
                <w:szCs w:val="20"/>
                <w:highlight w:val="none"/>
                <w:lang w:eastAsia="zh-CN"/>
              </w:rPr>
              <w:t>指</w:t>
            </w:r>
            <w:r>
              <w:rPr>
                <w:rFonts w:hint="eastAsia" w:ascii="Times New Roman" w:hAnsi="Times New Roman" w:eastAsia="宋体" w:cs="Times New Roman"/>
                <w:color w:val="auto"/>
                <w:sz w:val="20"/>
                <w:szCs w:val="20"/>
                <w:highlight w:val="none"/>
              </w:rPr>
              <w:t>太阳能发电活动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4417</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生物质能发电</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指主要利用农业、林业和工业废弃物、甚至城市垃圾为原料，采取直接燃烧或气化等方式的发电活动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4419</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其他电力生产</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指利用地热、潮汐能、温差能、波浪能及其他未列明的能源的发电活动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jc w:val="center"/>
              <w:rPr>
                <w:rFonts w:ascii="Times New Roman" w:hAnsi="Times New Roman" w:eastAsia="宋体" w:cs="Times New Roman"/>
                <w:color w:val="auto"/>
                <w:sz w:val="20"/>
                <w:szCs w:val="20"/>
                <w:highlight w:val="none"/>
              </w:rPr>
            </w:pPr>
            <w:r>
              <w:rPr>
                <w:rFonts w:hint="default" w:ascii="Times New Roman" w:hAnsi="Times New Roman" w:cs="Times New Roman"/>
                <w:color w:val="auto"/>
                <w:kern w:val="0"/>
                <w:sz w:val="20"/>
                <w:szCs w:val="20"/>
                <w:highlight w:val="none"/>
                <w:lang w:val="en-US" w:eastAsia="zh-CN"/>
              </w:rPr>
              <w:t>19</w:t>
            </w:r>
            <w:r>
              <w:rPr>
                <w:rFonts w:hint="default" w:ascii="Times New Roman" w:hAnsi="Times New Roman" w:eastAsia="宋体" w:cs="Times New Roman"/>
                <w:color w:val="auto"/>
                <w:kern w:val="0"/>
                <w:sz w:val="20"/>
                <w:szCs w:val="20"/>
                <w:highlight w:val="none"/>
              </w:rPr>
              <w:t>、绿色及清洁电力工程施工</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火力发电工程施工</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sz w:val="20"/>
                <w:szCs w:val="20"/>
                <w:highlight w:val="none"/>
                <w:lang w:eastAsia="zh-CN"/>
              </w:rPr>
            </w:pPr>
            <w:r>
              <w:rPr>
                <w:rFonts w:hint="eastAsia" w:ascii="Times New Roman" w:hAnsi="Times New Roman" w:eastAsia="宋体" w:cs="Times New Roman"/>
                <w:color w:val="auto"/>
                <w:sz w:val="20"/>
                <w:szCs w:val="20"/>
                <w:highlight w:val="none"/>
                <w:lang w:eastAsia="zh-CN"/>
              </w:rPr>
              <w:t>火力发电工程施工活动</w:t>
            </w:r>
            <w:r>
              <w:rPr>
                <w:rFonts w:hint="eastAsia" w:ascii="Times New Roman" w:hAnsi="Times New Roman" w:cs="Times New Roman"/>
                <w:color w:val="auto"/>
                <w:sz w:val="20"/>
                <w:szCs w:val="20"/>
                <w:highlight w:val="none"/>
                <w:lang w:eastAsia="zh-CN"/>
              </w:rPr>
              <w:t>；火力发电机组设备安装施工活动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水力发电工程施工</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水利发电工程施工活动</w:t>
            </w:r>
            <w:r>
              <w:rPr>
                <w:rFonts w:hint="eastAsia" w:ascii="Times New Roman" w:hAnsi="Times New Roman" w:cs="Times New Roman"/>
                <w:color w:val="auto"/>
                <w:kern w:val="0"/>
                <w:sz w:val="20"/>
                <w:szCs w:val="20"/>
                <w:highlight w:val="none"/>
                <w:lang w:eastAsia="zh-CN"/>
              </w:rPr>
              <w:t>；水利发电机组设备安装施工活动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核电工程施工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核电发电工程施工活动；核电电机组设备安装施工活动；核电站建筑工程施工活动。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风能发电工程施工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风能发电工程施工活动；风能发电机组设备安装施工活动。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太阳能发电工程施工</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太阳能发电工程施工活动；太阳能电机组设备安装施工活动。</w:t>
            </w:r>
          </w:p>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4879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其他电力工程施工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其他电力工程施工活动:生物质能工程建设施工、生物质能发电建筑工程、地热能发电及热利用工程建设、氢能新兴能源工程建设、其他电力工程施工；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1080"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b/>
                <w:bCs/>
                <w:color w:val="auto"/>
                <w:kern w:val="0"/>
                <w:sz w:val="20"/>
                <w:szCs w:val="20"/>
                <w:highlight w:val="none"/>
              </w:rPr>
            </w:pPr>
            <w:r>
              <w:rPr>
                <w:rFonts w:hint="default" w:ascii="Times New Roman" w:hAnsi="Times New Roman" w:cs="Times New Roman"/>
                <w:b/>
                <w:bCs/>
                <w:color w:val="auto"/>
                <w:kern w:val="0"/>
                <w:sz w:val="20"/>
                <w:szCs w:val="20"/>
                <w:highlight w:val="none"/>
                <w:lang w:eastAsia="zh-CN"/>
              </w:rPr>
              <w:t>八</w:t>
            </w:r>
            <w:r>
              <w:rPr>
                <w:rFonts w:hint="default" w:ascii="Times New Roman" w:hAnsi="Times New Roman" w:eastAsia="宋体" w:cs="Times New Roman"/>
                <w:b/>
                <w:bCs/>
                <w:color w:val="auto"/>
                <w:kern w:val="0"/>
                <w:sz w:val="20"/>
                <w:szCs w:val="20"/>
                <w:highlight w:val="none"/>
              </w:rPr>
              <w:t>、节能环保产业</w:t>
            </w:r>
          </w:p>
          <w:p>
            <w:pPr>
              <w:widowControl/>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cs="Times New Roman"/>
                <w:color w:val="auto"/>
                <w:kern w:val="0"/>
                <w:sz w:val="20"/>
                <w:szCs w:val="20"/>
                <w:highlight w:val="none"/>
                <w:lang w:val="en-US" w:eastAsia="zh-CN"/>
              </w:rPr>
              <w:t>20</w:t>
            </w:r>
            <w:r>
              <w:rPr>
                <w:rFonts w:hint="default" w:ascii="Times New Roman" w:hAnsi="Times New Roman" w:eastAsia="宋体" w:cs="Times New Roman"/>
                <w:color w:val="auto"/>
                <w:kern w:val="0"/>
                <w:sz w:val="20"/>
                <w:szCs w:val="20"/>
                <w:highlight w:val="none"/>
              </w:rPr>
              <w:t>、生物质燃料</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2541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生物质液体燃料生产</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指利用农作物秸秆和农业加工剩余物、薪材及林业加工剩余物、禽畜粪便、工业有机废水和废渣、城市生活垃圾和能源植物等生物质资源作为原料转化为液体燃料的活动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2542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生物质致密成型燃料加工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包括对下列生物质燃料的加工活动：林木致密成型燃料，秸秆致密成型燃料，废物、废料致密成型燃料，其他生物致密成型燃料；不包括：木炭、竹炭加工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cs="Times New Roman"/>
                <w:color w:val="auto"/>
                <w:kern w:val="0"/>
                <w:sz w:val="20"/>
                <w:szCs w:val="20"/>
                <w:highlight w:val="none"/>
                <w:lang w:val="en-US" w:eastAsia="zh-CN"/>
              </w:rPr>
              <w:t>21</w:t>
            </w:r>
            <w:r>
              <w:rPr>
                <w:rFonts w:hint="default" w:ascii="Times New Roman" w:hAnsi="Times New Roman" w:eastAsia="宋体" w:cs="Times New Roman"/>
                <w:color w:val="auto"/>
                <w:kern w:val="0"/>
                <w:sz w:val="20"/>
                <w:szCs w:val="20"/>
                <w:highlight w:val="none"/>
              </w:rPr>
              <w:t>、可降解材料</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2231*</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纸和纸板容器制造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lang w:eastAsia="zh-CN"/>
              </w:rPr>
              <w:t>指为禁塑提供替代品的纸质餐饮具的制造活动</w:t>
            </w:r>
          </w:p>
          <w:p>
            <w:pPr>
              <w:widowControl/>
              <w:textAlignment w:val="center"/>
              <w:rPr>
                <w:rFonts w:hint="eastAsia" w:ascii="Times New Roman" w:hAnsi="Times New Roman" w:eastAsia="宋体" w:cs="Times New Roman"/>
                <w:color w:val="auto"/>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2921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塑料薄膜制造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指用于农业覆盖，工业、商业及日用包装薄膜的制造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2922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塑料板、管、型材制造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指各种塑料板、管及管件、棒材、薄片等生产活动，以及以聚氯乙烯为主要原料，经连续挤出成型的塑料异型材的生产活动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塑料丝、绳及编织品制造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指塑料制丝、绳、扁条，塑料袋及编织袋、编织布等生产活动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泡沫塑料制造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指以合成树脂为主要原料，经发泡成型工艺加工制成内部具有微孔的塑料制品的生产活动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塑料人造革、合成革制造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外观和手感似皮革，其透气、透湿性虽然略逊色于天然革，但具有优异的物理、机械性能，如强度和耐磨性等，并可代替天然革使用的塑料人造革的生产活动；模拟天然人造革的组成和结构，正反面都与皮革十分相似，比普通人造革更近似天然革，并可代替天然革的塑料合成革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塑料包装箱及容器制造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指用吹塑或注塑工艺等制成的，可盛装各种物品或液体物质，以便于储存、运输等用途的塑料包装箱及塑料容器制品的生产活动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2927</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日用塑料制品制造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指塑料制餐、厨用具，卫生设备、洁具及其配件，塑料服装，日用塑料装饰品，以及其他日用塑料制品的生产活动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2928</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人造草坪制造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指采用合成纤维，植入在机织的基布上，并具有天然草运动性能的人造草制造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2929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塑料零件及其他塑料制品制造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指塑料制绝缘零件、密封制品、紧固件，以及汽车、家具等专用零配件的制造，以及上述未列明的其他各类非日用塑料制品的生产活动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22</w:t>
            </w:r>
            <w:r>
              <w:rPr>
                <w:rFonts w:hint="default" w:ascii="Times New Roman" w:hAnsi="Times New Roman" w:eastAsia="宋体" w:cs="Times New Roman"/>
                <w:color w:val="auto"/>
                <w:kern w:val="0"/>
                <w:sz w:val="20"/>
                <w:szCs w:val="20"/>
                <w:highlight w:val="none"/>
              </w:rPr>
              <w:t>、绿色建材</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3011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水泥制造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水泥制造、绿色环保水泥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3012</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石灰和石膏制造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石灰和石膏的制造</w:t>
            </w:r>
            <w:r>
              <w:rPr>
                <w:rFonts w:hint="eastAsia" w:ascii="Times New Roman" w:hAnsi="Times New Roman" w:cs="Times New Roman"/>
                <w:color w:val="auto"/>
                <w:kern w:val="0"/>
                <w:sz w:val="20"/>
                <w:szCs w:val="20"/>
                <w:highlight w:val="none"/>
                <w:lang w:eastAsia="zh-CN"/>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3021</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水泥制品制造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水泥制管、杆、桩、砖、瓦等制品制造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3022</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砼结构构件制造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装配式建筑部品、水泥钢筋混凝土桥梁构件、其他钢筋混凝土预制框架等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3024</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轻质建筑材料制造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蒸压加气混凝土板、轻质复合保温板材、轻质内墙隔条板、粉煤灰泡沫水泥条板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3029</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其他水泥类似制品制造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 xml:space="preserve"> 指玻璃纤维增强水泥制品，以及其他未列明的水泥制品的制造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3031</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 xml:space="preserve"> 粘土砖瓦及建筑砌块制造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指绿色节能建筑材料制造：新型烧结砖（空心、利废、生物质建材、节能保温、通过绿色评定的新型烧结类砖、砌块产品）、新型烧结砌块、透水砖、烧结保温砖和保温砌块等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3033</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 xml:space="preserve"> 防水建筑材料制造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指以沥青或类似材料为主要原料制造防水材料的活动</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rPr>
              <w:t>弹性体改沥青防水卷材（</w:t>
            </w:r>
            <w:r>
              <w:rPr>
                <w:rFonts w:ascii="Times New Roman" w:hAnsi="Times New Roman" w:eastAsia="宋体" w:cs="Times New Roman"/>
                <w:color w:val="auto"/>
                <w:kern w:val="0"/>
                <w:sz w:val="20"/>
                <w:szCs w:val="20"/>
                <w:highlight w:val="none"/>
              </w:rPr>
              <w:t>SBS</w:t>
            </w:r>
            <w:r>
              <w:rPr>
                <w:rFonts w:hint="default" w:ascii="Times New Roman" w:hAnsi="Times New Roman" w:eastAsia="宋体" w:cs="Times New Roman"/>
                <w:color w:val="auto"/>
                <w:kern w:val="0"/>
                <w:sz w:val="20"/>
                <w:szCs w:val="20"/>
                <w:highlight w:val="none"/>
              </w:rPr>
              <w:t>）、塑性体改性沥青防水卷材（</w:t>
            </w:r>
            <w:r>
              <w:rPr>
                <w:rFonts w:ascii="Times New Roman" w:hAnsi="Times New Roman" w:eastAsia="宋体" w:cs="Times New Roman"/>
                <w:color w:val="auto"/>
                <w:kern w:val="0"/>
                <w:sz w:val="20"/>
                <w:szCs w:val="20"/>
                <w:highlight w:val="none"/>
              </w:rPr>
              <w:t>APP</w:t>
            </w:r>
            <w:r>
              <w:rPr>
                <w:rFonts w:hint="default" w:ascii="Times New Roman" w:hAnsi="Times New Roman" w:eastAsia="宋体" w:cs="Times New Roman"/>
                <w:color w:val="auto"/>
                <w:kern w:val="0"/>
                <w:sz w:val="20"/>
                <w:szCs w:val="20"/>
                <w:highlight w:val="none"/>
              </w:rPr>
              <w:t>）、自粘橡胶沥青防水卷材（含沥青聚酯胎</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rPr>
              <w:t xml:space="preserve">、玻纤沥青瓦、热塑性聚烯烃防水卷材、钠基膨润土防水毯等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color w:val="auto"/>
                <w:kern w:val="0"/>
                <w:sz w:val="20"/>
                <w:szCs w:val="20"/>
                <w:highlight w:val="none"/>
                <w:lang w:val="en-US" w:eastAsia="zh-CN"/>
              </w:rPr>
              <w:t>3034</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 xml:space="preserve"> 隔热和隔音材料制造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隔热和隔音材料制造、建筑节能保温隔热材料、建筑节能隔音材料、气凝胶及其制品、真空绝热板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3039</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其他建筑材料制造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其他未列明建筑材料的制造活动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hint="default" w:ascii="Times New Roman" w:hAnsi="Times New Roman" w:eastAsia="宋体" w:cs="Times New Roman"/>
                <w:b/>
                <w:bCs/>
                <w:color w:val="auto"/>
                <w:sz w:val="20"/>
                <w:szCs w:val="20"/>
                <w:highlight w:val="none"/>
                <w:lang w:val="en-US" w:eastAsia="zh-CN"/>
              </w:rPr>
            </w:pPr>
            <w:r>
              <w:rPr>
                <w:rFonts w:hint="default" w:ascii="Times New Roman" w:hAnsi="Times New Roman" w:cs="Times New Roman"/>
                <w:b/>
                <w:bCs/>
                <w:color w:val="auto"/>
                <w:sz w:val="20"/>
                <w:szCs w:val="20"/>
                <w:highlight w:val="none"/>
                <w:lang w:val="en-US" w:eastAsia="zh-CN"/>
              </w:rPr>
              <w:t>3041</w:t>
            </w: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3041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平板玻璃制造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指用浮法、垂直引上法、压延法等生产平板玻璃原片活动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3042</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特种玻璃制造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真空节能玻璃、高性能建筑玻璃、低辐射玻璃、光伏一体化建筑用外墙玻璃、光伏导电玻璃、与金属封接用玻璃管材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rPr>
            </w:pPr>
            <w:r>
              <w:rPr>
                <w:rFonts w:hint="default" w:ascii="Times New Roman" w:hAnsi="Times New Roman" w:eastAsia="宋体" w:cs="Times New Roman"/>
                <w:i w:val="0"/>
                <w:iCs w:val="0"/>
                <w:color w:val="auto"/>
                <w:kern w:val="0"/>
                <w:sz w:val="20"/>
                <w:szCs w:val="20"/>
                <w:highlight w:val="none"/>
                <w:u w:val="none"/>
                <w:lang w:val="en-US" w:eastAsia="zh-CN" w:bidi="ar"/>
              </w:rPr>
              <w:t>3049</w:t>
            </w:r>
            <w:r>
              <w:rPr>
                <w:rFonts w:hint="eastAsia" w:cs="Times New Roman"/>
                <w:i w:val="0"/>
                <w:iCs w:val="0"/>
                <w:color w:val="auto"/>
                <w:kern w:val="0"/>
                <w:sz w:val="20"/>
                <w:szCs w:val="20"/>
                <w:highlight w:val="none"/>
                <w:u w:val="none"/>
                <w:lang w:val="en-US" w:eastAsia="zh-CN" w:bidi="ar"/>
              </w:rPr>
              <w:t>*</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其他玻璃制造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节能玻璃生产</w:t>
            </w:r>
            <w:r>
              <w:rPr>
                <w:rFonts w:hint="default" w:ascii="Times New Roman" w:hAnsi="Times New Roman" w:cs="Times New Roman"/>
                <w:i w:val="0"/>
                <w:iCs w:val="0"/>
                <w:color w:val="auto"/>
                <w:kern w:val="0"/>
                <w:sz w:val="20"/>
                <w:szCs w:val="20"/>
                <w:highlight w:val="none"/>
                <w:u w:val="none"/>
                <w:lang w:val="en-US" w:eastAsia="zh-CN" w:bidi="ar"/>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3051</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技术玻璃品制造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建筑节能玻璃、热反射镀膜玻璃、镀膜低辐射玻璃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3062</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玻璃纤维和玻璃纤维增强塑料</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玻璃纤维及制品制造、玻璃纤维增强塑料制品制造（新型功能玻璃）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3099</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20"/>
                <w:szCs w:val="20"/>
                <w:highlight w:val="none"/>
                <w:u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其他非金属矿物制品制造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其他非金属矿物制品制造</w:t>
            </w:r>
            <w:r>
              <w:rPr>
                <w:rFonts w:hint="eastAsia" w:ascii="Times New Roman" w:hAnsi="Times New Roman" w:cs="Times New Roman"/>
                <w:color w:val="auto"/>
                <w:kern w:val="0"/>
                <w:sz w:val="20"/>
                <w:szCs w:val="20"/>
                <w:highlight w:val="none"/>
                <w:lang w:eastAsia="zh-CN"/>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3311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金属结构制造</w:t>
            </w:r>
          </w:p>
        </w:tc>
        <w:tc>
          <w:tcPr>
            <w:tcW w:w="5184" w:type="dxa"/>
            <w:tcBorders>
              <w:tl2br w:val="nil"/>
              <w:tr2bl w:val="nil"/>
            </w:tcBorders>
            <w:noWrap w:val="0"/>
            <w:vAlign w:val="center"/>
          </w:tcPr>
          <w:p>
            <w:pPr>
              <w:widowControl/>
              <w:textAlignment w:val="center"/>
              <w:rPr>
                <w:rFonts w:hint="eastAsia" w:ascii="Times New Roman" w:hAnsi="Times New Roman" w:eastAsia="华文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rPr>
              <w:t>指以铁、钢或铝等金属为主要材料，制造金属构件、金属构件零件、建筑用钢制品及类似品的生产活动，这些制品可以运输，并便于装配、安装或竖立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3312</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结构性金属制品制造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铝木复合门窗、断桥隔热门窗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val="en-US" w:eastAsia="zh-CN"/>
              </w:rPr>
              <w:t>23</w:t>
            </w:r>
            <w:r>
              <w:rPr>
                <w:rFonts w:hint="default" w:ascii="Times New Roman" w:hAnsi="Times New Roman" w:eastAsia="宋体" w:cs="Times New Roman"/>
                <w:color w:val="auto"/>
                <w:kern w:val="0"/>
                <w:sz w:val="20"/>
                <w:szCs w:val="20"/>
                <w:highlight w:val="none"/>
              </w:rPr>
              <w:t>、</w:t>
            </w:r>
            <w:r>
              <w:rPr>
                <w:rFonts w:hint="default" w:ascii="Times New Roman" w:hAnsi="Times New Roman" w:cs="Times New Roman"/>
                <w:color w:val="auto"/>
                <w:kern w:val="0"/>
                <w:sz w:val="20"/>
                <w:szCs w:val="20"/>
                <w:highlight w:val="none"/>
                <w:lang w:eastAsia="zh-CN"/>
              </w:rPr>
              <w:t>高效节能装备制造</w:t>
            </w: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3411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锅炉及辅助设备制造</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指节能锅炉及辅助设备制造，能效达到国家标准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3461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烘炉、熔炉及电炉制造</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烘炉、熔炉及电炉制造，能效达到国家标准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3821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变压器、整流器、电感器和电焊机制造</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指节能型变压器、整流器、电感器和电焊机制造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3823</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配电开关控制设备制造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指节能型配电开关控制设备制造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3831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电线电缆制造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指节能型电线电缆制造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hint="eastAsia" w:ascii="Times New Roman" w:hAnsi="Times New Roman" w:eastAsia="宋体" w:cs="Times New Roman"/>
                <w:color w:val="auto"/>
                <w:kern w:val="0"/>
                <w:sz w:val="20"/>
                <w:szCs w:val="20"/>
                <w:highlight w:val="none"/>
                <w:lang w:eastAsia="zh-CN"/>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3591</w:t>
            </w:r>
          </w:p>
        </w:tc>
        <w:tc>
          <w:tcPr>
            <w:tcW w:w="1145" w:type="dxa"/>
            <w:tcBorders>
              <w:tl2br w:val="nil"/>
              <w:tr2bl w:val="nil"/>
            </w:tcBorders>
            <w:noWrap w:val="0"/>
            <w:vAlign w:val="center"/>
          </w:tcPr>
          <w:p>
            <w:pPr>
              <w:widowControl/>
              <w:jc w:val="left"/>
              <w:textAlignment w:val="center"/>
              <w:rPr>
                <w:rFonts w:ascii="Times New Roman" w:hAnsi="Times New Roman" w:eastAsia="华文宋体" w:cs="Times New Roman"/>
                <w:color w:val="auto"/>
                <w:kern w:val="0"/>
                <w:sz w:val="18"/>
                <w:szCs w:val="18"/>
                <w:highlight w:val="none"/>
              </w:rPr>
            </w:pPr>
            <w:r>
              <w:rPr>
                <w:rFonts w:hint="default" w:ascii="Times New Roman" w:hAnsi="Times New Roman" w:eastAsia="宋体" w:cs="Times New Roman"/>
                <w:color w:val="auto"/>
                <w:kern w:val="0"/>
                <w:sz w:val="20"/>
                <w:szCs w:val="20"/>
                <w:highlight w:val="none"/>
              </w:rPr>
              <w:t>环境保护专用设备制造</w:t>
            </w:r>
          </w:p>
        </w:tc>
        <w:tc>
          <w:tcPr>
            <w:tcW w:w="5184" w:type="dxa"/>
            <w:tcBorders>
              <w:tl2br w:val="nil"/>
              <w:tr2bl w:val="nil"/>
            </w:tcBorders>
            <w:noWrap w:val="0"/>
            <w:vAlign w:val="center"/>
          </w:tcPr>
          <w:p>
            <w:pPr>
              <w:widowControl/>
              <w:textAlignment w:val="center"/>
              <w:rPr>
                <w:rFonts w:ascii="Times New Roman" w:hAnsi="Times New Roman" w:eastAsia="华文宋体" w:cs="Times New Roman"/>
                <w:color w:val="auto"/>
                <w:kern w:val="0"/>
                <w:sz w:val="18"/>
                <w:szCs w:val="18"/>
                <w:highlight w:val="none"/>
              </w:rPr>
            </w:pPr>
            <w:r>
              <w:rPr>
                <w:rFonts w:hint="default" w:ascii="Times New Roman" w:hAnsi="Times New Roman" w:eastAsia="宋体" w:cs="Times New Roman"/>
                <w:color w:val="auto"/>
                <w:kern w:val="0"/>
                <w:sz w:val="20"/>
                <w:szCs w:val="20"/>
                <w:highlight w:val="none"/>
              </w:rPr>
              <w:t>环境保护专用设备制造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eastAsia" w:cs="Times New Roman"/>
                <w:color w:val="auto"/>
                <w:kern w:val="0"/>
                <w:sz w:val="20"/>
                <w:szCs w:val="20"/>
                <w:highlight w:val="none"/>
                <w:lang w:val="en-US" w:eastAsia="zh-CN"/>
              </w:rPr>
              <w:t>24</w:t>
            </w:r>
            <w:r>
              <w:rPr>
                <w:rFonts w:hint="default" w:ascii="Times New Roman" w:hAnsi="Times New Roman" w:eastAsia="宋体" w:cs="Times New Roman"/>
                <w:color w:val="auto"/>
                <w:kern w:val="0"/>
                <w:sz w:val="20"/>
                <w:szCs w:val="20"/>
                <w:highlight w:val="none"/>
              </w:rPr>
              <w:t>、废弃物处置</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4210</w:t>
            </w:r>
          </w:p>
        </w:tc>
        <w:tc>
          <w:tcPr>
            <w:tcW w:w="1145" w:type="dxa"/>
            <w:tcBorders>
              <w:tl2br w:val="nil"/>
              <w:tr2bl w:val="nil"/>
            </w:tcBorders>
            <w:noWrap w:val="0"/>
            <w:vAlign w:val="center"/>
          </w:tcPr>
          <w:p>
            <w:pPr>
              <w:widowControl/>
              <w:jc w:val="left"/>
              <w:textAlignment w:val="center"/>
              <w:rPr>
                <w:rFonts w:ascii="Times New Roman" w:hAnsi="Times New Roman" w:eastAsia="华文宋体" w:cs="Times New Roman"/>
                <w:color w:val="auto"/>
                <w:kern w:val="0"/>
                <w:sz w:val="18"/>
                <w:szCs w:val="18"/>
                <w:highlight w:val="none"/>
              </w:rPr>
            </w:pPr>
            <w:r>
              <w:rPr>
                <w:rFonts w:hint="default" w:ascii="Times New Roman" w:hAnsi="Times New Roman" w:eastAsia="宋体" w:cs="Times New Roman"/>
                <w:color w:val="auto"/>
                <w:kern w:val="0"/>
                <w:sz w:val="20"/>
                <w:szCs w:val="20"/>
                <w:highlight w:val="none"/>
              </w:rPr>
              <w:t>金属废料和碎屑加工处理</w:t>
            </w:r>
          </w:p>
        </w:tc>
        <w:tc>
          <w:tcPr>
            <w:tcW w:w="5184" w:type="dxa"/>
            <w:tcBorders>
              <w:tl2br w:val="nil"/>
              <w:tr2bl w:val="nil"/>
            </w:tcBorders>
            <w:noWrap w:val="0"/>
            <w:vAlign w:val="center"/>
          </w:tcPr>
          <w:p>
            <w:pPr>
              <w:widowControl/>
              <w:textAlignment w:val="center"/>
              <w:rPr>
                <w:rFonts w:ascii="Times New Roman" w:hAnsi="Times New Roman" w:eastAsia="华文宋体" w:cs="Times New Roman"/>
                <w:color w:val="auto"/>
                <w:kern w:val="0"/>
                <w:sz w:val="18"/>
                <w:szCs w:val="18"/>
                <w:highlight w:val="none"/>
              </w:rPr>
            </w:pPr>
            <w:r>
              <w:rPr>
                <w:rFonts w:hint="default" w:ascii="Times New Roman" w:hAnsi="Times New Roman" w:eastAsia="宋体" w:cs="Times New Roman"/>
                <w:color w:val="auto"/>
                <w:kern w:val="0"/>
                <w:sz w:val="20"/>
                <w:szCs w:val="20"/>
                <w:highlight w:val="none"/>
              </w:rPr>
              <w:t>指从各种废料（包括物体废料废水（液）、废气等）中回收，并使之</w:t>
            </w:r>
            <w:r>
              <w:rPr>
                <w:rFonts w:hint="eastAsia" w:ascii="Times New Roman" w:hAnsi="Times New Roman" w:cs="Times New Roman"/>
                <w:color w:val="auto"/>
                <w:kern w:val="0"/>
                <w:sz w:val="20"/>
                <w:szCs w:val="20"/>
                <w:highlight w:val="none"/>
                <w:lang w:eastAsia="zh-CN"/>
              </w:rPr>
              <w:t>便于</w:t>
            </w:r>
            <w:r>
              <w:rPr>
                <w:rFonts w:hint="default" w:ascii="Times New Roman" w:hAnsi="Times New Roman" w:eastAsia="宋体" w:cs="Times New Roman"/>
                <w:color w:val="auto"/>
                <w:kern w:val="0"/>
                <w:sz w:val="20"/>
                <w:szCs w:val="20"/>
                <w:highlight w:val="none"/>
              </w:rPr>
              <w:t>转化为新的原材料，或适于进一步加工为金属原料的金属废料和碎屑的再加工处理活动，包括废旧电器、电子产品拆解回收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4220</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非金属废料和碎屑加工处理</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指从各种废料［包括固体废料、废水（液）、废气等］中回收，或经过分类，使其适于进一步加工为新原料的非金属废料和碎屑的再加工处理活动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left"/>
              <w:textAlignment w:val="center"/>
              <w:rPr>
                <w:rFonts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25、</w:t>
            </w:r>
            <w:r>
              <w:rPr>
                <w:rFonts w:hint="eastAsia" w:ascii="Times New Roman" w:hAnsi="Times New Roman" w:eastAsia="宋体" w:cs="Times New Roman"/>
                <w:color w:val="auto"/>
                <w:kern w:val="2"/>
                <w:sz w:val="20"/>
                <w:szCs w:val="20"/>
                <w:highlight w:val="none"/>
                <w:lang w:val="en-US" w:eastAsia="zh-CN" w:bidi="ar-SA"/>
              </w:rPr>
              <w:t>节能环保技术服务</w:t>
            </w: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7213</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资源与产权交易服务</w:t>
            </w:r>
          </w:p>
        </w:tc>
        <w:tc>
          <w:tcPr>
            <w:tcW w:w="5184" w:type="dxa"/>
            <w:tcBorders>
              <w:tl2br w:val="nil"/>
              <w:tr2bl w:val="nil"/>
            </w:tcBorders>
            <w:noWrap w:val="0"/>
            <w:vAlign w:val="center"/>
          </w:tcPr>
          <w:p>
            <w:pPr>
              <w:keepNext w:val="0"/>
              <w:keepLines w:val="0"/>
              <w:widowControl/>
              <w:suppressLineNumbers w:val="0"/>
              <w:jc w:val="both"/>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主要包括环境排放交易活动、碳排放交易活动、能源交易活动、节能量交易服务等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rPr>
                <w:color w:val="auto"/>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7245</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环保咨询</w:t>
            </w:r>
          </w:p>
        </w:tc>
        <w:tc>
          <w:tcPr>
            <w:tcW w:w="5184" w:type="dxa"/>
            <w:tcBorders>
              <w:tl2br w:val="nil"/>
              <w:tr2bl w:val="nil"/>
            </w:tcBorders>
            <w:noWrap w:val="0"/>
            <w:vAlign w:val="center"/>
          </w:tcPr>
          <w:p>
            <w:pPr>
              <w:keepNext w:val="0"/>
              <w:keepLines w:val="0"/>
              <w:widowControl/>
              <w:suppressLineNumbers w:val="0"/>
              <w:jc w:val="both"/>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主要包括环境保护法律咨询、环境保护咨询、环境治理、环境影响评价、环保管家、环境调查等环保相关咨询业务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rPr>
                <w:color w:val="auto"/>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7432</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海洋环境服务</w:t>
            </w:r>
          </w:p>
        </w:tc>
        <w:tc>
          <w:tcPr>
            <w:tcW w:w="5184" w:type="dxa"/>
            <w:tcBorders>
              <w:tl2br w:val="nil"/>
              <w:tr2bl w:val="nil"/>
            </w:tcBorders>
            <w:noWrap w:val="0"/>
            <w:vAlign w:val="center"/>
          </w:tcPr>
          <w:p>
            <w:pPr>
              <w:keepNext w:val="0"/>
              <w:keepLines w:val="0"/>
              <w:widowControl/>
              <w:suppressLineNumbers w:val="0"/>
              <w:jc w:val="both"/>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主要包括海洋环境服务、海洋污染治理服务、海洋环境预报评估服务、海洋环境监测评价服务、海洋观测服务等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80" w:type="dxa"/>
            <w:vMerge w:val="continue"/>
            <w:tcBorders>
              <w:tl2br w:val="nil"/>
              <w:tr2bl w:val="nil"/>
            </w:tcBorders>
            <w:noWrap w:val="0"/>
            <w:vAlign w:val="center"/>
          </w:tcPr>
          <w:p>
            <w:pPr>
              <w:rPr>
                <w:color w:val="auto"/>
                <w:highlight w:val="none"/>
              </w:rPr>
            </w:pPr>
          </w:p>
        </w:tc>
        <w:tc>
          <w:tcPr>
            <w:tcW w:w="1195" w:type="dxa"/>
            <w:vMerge w:val="continue"/>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7461</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环境保护监测</w:t>
            </w:r>
          </w:p>
        </w:tc>
        <w:tc>
          <w:tcPr>
            <w:tcW w:w="5184" w:type="dxa"/>
            <w:tcBorders>
              <w:tl2br w:val="nil"/>
              <w:tr2bl w:val="nil"/>
            </w:tcBorders>
            <w:noWrap w:val="0"/>
            <w:vAlign w:val="center"/>
          </w:tcPr>
          <w:p>
            <w:pPr>
              <w:keepNext w:val="0"/>
              <w:keepLines w:val="0"/>
              <w:widowControl/>
              <w:suppressLineNumbers w:val="0"/>
              <w:jc w:val="both"/>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指对环境各要素，对生产与生活等各类污染源排放的液体、气体、固体、辐射等污染物或污染因子指标进行的测试、监测和评估活动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080"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b/>
                <w:bCs/>
                <w:color w:val="auto"/>
                <w:kern w:val="0"/>
                <w:sz w:val="20"/>
                <w:szCs w:val="20"/>
                <w:highlight w:val="none"/>
              </w:rPr>
            </w:pPr>
            <w:r>
              <w:rPr>
                <w:rFonts w:hint="default" w:ascii="Times New Roman" w:hAnsi="Times New Roman" w:cs="Times New Roman"/>
                <w:b/>
                <w:bCs/>
                <w:color w:val="auto"/>
                <w:kern w:val="0"/>
                <w:sz w:val="20"/>
                <w:szCs w:val="20"/>
                <w:highlight w:val="none"/>
                <w:lang w:eastAsia="zh-CN"/>
              </w:rPr>
              <w:t>九</w:t>
            </w:r>
            <w:r>
              <w:rPr>
                <w:rFonts w:hint="default" w:ascii="Times New Roman" w:hAnsi="Times New Roman" w:eastAsia="宋体" w:cs="Times New Roman"/>
                <w:b/>
                <w:bCs/>
                <w:color w:val="auto"/>
                <w:kern w:val="0"/>
                <w:sz w:val="20"/>
                <w:szCs w:val="20"/>
                <w:highlight w:val="none"/>
              </w:rPr>
              <w:t>、高端</w:t>
            </w:r>
            <w:r>
              <w:rPr>
                <w:rFonts w:hint="eastAsia" w:eastAsia="宋体" w:cs="Times New Roman"/>
                <w:b/>
                <w:bCs/>
                <w:color w:val="auto"/>
                <w:kern w:val="0"/>
                <w:sz w:val="20"/>
                <w:szCs w:val="20"/>
                <w:highlight w:val="none"/>
                <w:lang w:eastAsia="zh-CN"/>
              </w:rPr>
              <w:t>消费品</w:t>
            </w:r>
            <w:r>
              <w:rPr>
                <w:rFonts w:hint="default" w:ascii="Times New Roman" w:hAnsi="Times New Roman" w:eastAsia="宋体" w:cs="Times New Roman"/>
                <w:b/>
                <w:bCs/>
                <w:color w:val="auto"/>
                <w:kern w:val="0"/>
                <w:sz w:val="20"/>
                <w:szCs w:val="20"/>
                <w:highlight w:val="none"/>
              </w:rPr>
              <w:t>加工产业</w:t>
            </w:r>
          </w:p>
          <w:p>
            <w:pPr>
              <w:widowControl/>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26</w:t>
            </w:r>
            <w:r>
              <w:rPr>
                <w:rFonts w:hint="default" w:ascii="Times New Roman" w:hAnsi="Times New Roman" w:eastAsia="宋体" w:cs="Times New Roman"/>
                <w:color w:val="auto"/>
                <w:kern w:val="0"/>
                <w:sz w:val="20"/>
                <w:szCs w:val="20"/>
                <w:highlight w:val="none"/>
              </w:rPr>
              <w:t>、生物制品</w:t>
            </w: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1311</w:t>
            </w:r>
            <w:r>
              <w:rPr>
                <w:rFonts w:hint="eastAsia" w:ascii="Times New Roman" w:hAnsi="Times New Roman" w:cs="Times New Roman"/>
                <w:color w:val="auto"/>
                <w:kern w:val="0"/>
                <w:sz w:val="20"/>
                <w:szCs w:val="20"/>
                <w:highlight w:val="none"/>
                <w:lang w:val="en-US" w:eastAsia="zh-CN"/>
              </w:rPr>
              <w:t>*</w:t>
            </w:r>
          </w:p>
        </w:tc>
        <w:tc>
          <w:tcPr>
            <w:tcW w:w="1145" w:type="dxa"/>
            <w:tcBorders>
              <w:tl2br w:val="nil"/>
              <w:tr2bl w:val="nil"/>
            </w:tcBorders>
            <w:noWrap w:val="0"/>
            <w:vAlign w:val="center"/>
          </w:tcPr>
          <w:p>
            <w:pPr>
              <w:widowControl/>
              <w:jc w:val="both"/>
              <w:textAlignment w:val="center"/>
              <w:rPr>
                <w:rFonts w:ascii="Times New Roman" w:hAnsi="Times New Roman" w:eastAsia="宋体" w:cs="Times New Roman"/>
                <w:color w:val="auto"/>
                <w:kern w:val="0"/>
                <w:sz w:val="20"/>
                <w:szCs w:val="20"/>
                <w:highlight w:val="none"/>
                <w:u w:val="none"/>
                <w:lang w:bidi="ar"/>
              </w:rPr>
            </w:pPr>
            <w:r>
              <w:rPr>
                <w:rFonts w:hint="default" w:ascii="Times New Roman" w:hAnsi="Times New Roman" w:eastAsia="宋体" w:cs="Times New Roman"/>
                <w:color w:val="auto"/>
                <w:kern w:val="0"/>
                <w:sz w:val="20"/>
                <w:szCs w:val="20"/>
                <w:highlight w:val="none"/>
                <w:u w:val="none"/>
                <w:lang w:bidi="ar"/>
              </w:rPr>
              <w:t>稻谷加工</w:t>
            </w:r>
          </w:p>
        </w:tc>
        <w:tc>
          <w:tcPr>
            <w:tcW w:w="5184" w:type="dxa"/>
            <w:vMerge w:val="restart"/>
            <w:tcBorders>
              <w:tl2br w:val="nil"/>
              <w:tr2bl w:val="nil"/>
            </w:tcBorders>
            <w:noWrap w:val="0"/>
            <w:vAlign w:val="center"/>
          </w:tcPr>
          <w:p>
            <w:pPr>
              <w:widowControl/>
              <w:textAlignment w:val="center"/>
              <w:rPr>
                <w:rFonts w:hint="default" w:ascii="Times New Roman" w:hAnsi="Times New Roman" w:cs="Times New Roman"/>
                <w:i w:val="0"/>
                <w:iCs w:val="0"/>
                <w:caps w:val="0"/>
                <w:color w:val="auto"/>
                <w:spacing w:val="0"/>
                <w:kern w:val="0"/>
                <w:sz w:val="20"/>
                <w:szCs w:val="20"/>
                <w:highlight w:val="none"/>
                <w:u w:val="none"/>
                <w:lang w:eastAsia="zh-CN" w:bidi="ar"/>
              </w:rPr>
            </w:pPr>
          </w:p>
          <w:p>
            <w:pPr>
              <w:widowControl/>
              <w:textAlignment w:val="center"/>
              <w:rPr>
                <w:rFonts w:ascii="Times New Roman" w:hAnsi="Times New Roman" w:eastAsia="宋体" w:cs="Times New Roman"/>
                <w:i w:val="0"/>
                <w:iCs w:val="0"/>
                <w:caps w:val="0"/>
                <w:color w:val="auto"/>
                <w:spacing w:val="0"/>
                <w:kern w:val="0"/>
                <w:sz w:val="20"/>
                <w:szCs w:val="20"/>
                <w:highlight w:val="none"/>
                <w:u w:val="none"/>
                <w:shd w:val="clear"/>
                <w:lang w:bidi="ar"/>
              </w:rPr>
            </w:pPr>
            <w:r>
              <w:rPr>
                <w:rFonts w:ascii="Times New Roman" w:hAnsi="Times New Roman" w:eastAsia="宋体" w:cs="Times New Roman"/>
                <w:i w:val="0"/>
                <w:iCs w:val="0"/>
                <w:caps w:val="0"/>
                <w:color w:val="auto"/>
                <w:spacing w:val="0"/>
                <w:kern w:val="0"/>
                <w:sz w:val="20"/>
                <w:szCs w:val="20"/>
                <w:highlight w:val="none"/>
                <w:u w:val="none"/>
                <w:shd w:val="clear"/>
                <w:lang w:bidi="ar"/>
              </w:rPr>
              <w:t>指采用高端化、智能化、绿色化新工艺及先进技术，</w:t>
            </w:r>
            <w:r>
              <w:rPr>
                <w:rFonts w:hint="eastAsia" w:ascii="Times New Roman" w:hAnsi="Times New Roman" w:cs="Times New Roman"/>
                <w:i w:val="0"/>
                <w:iCs w:val="0"/>
                <w:caps w:val="0"/>
                <w:color w:val="auto"/>
                <w:spacing w:val="0"/>
                <w:kern w:val="0"/>
                <w:sz w:val="20"/>
                <w:szCs w:val="20"/>
                <w:highlight w:val="none"/>
                <w:u w:val="none"/>
                <w:shd w:val="clear"/>
                <w:lang w:eastAsia="zh-CN" w:bidi="ar"/>
              </w:rPr>
              <w:t>开展展大米、</w:t>
            </w:r>
            <w:r>
              <w:rPr>
                <w:rFonts w:ascii="Times New Roman" w:hAnsi="Times New Roman" w:eastAsia="宋体" w:cs="Times New Roman"/>
                <w:i w:val="0"/>
                <w:iCs w:val="0"/>
                <w:caps w:val="0"/>
                <w:color w:val="auto"/>
                <w:spacing w:val="0"/>
                <w:kern w:val="0"/>
                <w:sz w:val="20"/>
                <w:szCs w:val="20"/>
                <w:highlight w:val="none"/>
                <w:u w:val="none"/>
                <w:shd w:val="clear"/>
                <w:lang w:bidi="ar"/>
              </w:rPr>
              <w:t>小麦粉、玉米碴、玉米粉及其他成品粮的生产活动</w:t>
            </w:r>
          </w:p>
          <w:p>
            <w:pPr>
              <w:widowControl/>
              <w:textAlignment w:val="center"/>
              <w:rPr>
                <w:rFonts w:ascii="Times New Roman" w:hAnsi="Times New Roman" w:eastAsia="宋体" w:cs="Times New Roman"/>
                <w:color w:val="auto"/>
                <w:kern w:val="0"/>
                <w:sz w:val="20"/>
                <w:szCs w:val="20"/>
                <w:highlight w:val="none"/>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1312</w:t>
            </w:r>
            <w:r>
              <w:rPr>
                <w:rFonts w:hint="eastAsia" w:ascii="Times New Roman" w:hAnsi="Times New Roman" w:cs="Times New Roman"/>
                <w:color w:val="auto"/>
                <w:kern w:val="0"/>
                <w:sz w:val="20"/>
                <w:szCs w:val="20"/>
                <w:highlight w:val="none"/>
                <w:lang w:val="en-US" w:eastAsia="zh-CN"/>
              </w:rPr>
              <w:t>*</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小麦加工</w:t>
            </w:r>
          </w:p>
        </w:tc>
        <w:tc>
          <w:tcPr>
            <w:tcW w:w="5184" w:type="dxa"/>
            <w:vMerge w:val="continue"/>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yellow"/>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1313</w:t>
            </w:r>
            <w:r>
              <w:rPr>
                <w:rFonts w:hint="eastAsia" w:ascii="Times New Roman" w:hAnsi="Times New Roman" w:cs="Times New Roman"/>
                <w:color w:val="auto"/>
                <w:kern w:val="0"/>
                <w:sz w:val="20"/>
                <w:szCs w:val="20"/>
                <w:highlight w:val="none"/>
                <w:lang w:val="en-US" w:eastAsia="zh-CN"/>
              </w:rPr>
              <w:t>*</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玉米加工</w:t>
            </w:r>
          </w:p>
        </w:tc>
        <w:tc>
          <w:tcPr>
            <w:tcW w:w="5184" w:type="dxa"/>
            <w:vMerge w:val="continue"/>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yellow"/>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val="en-US" w:eastAsia="zh-CN"/>
              </w:rPr>
            </w:pPr>
            <w:r>
              <w:rPr>
                <w:rFonts w:ascii="Times New Roman" w:hAnsi="Times New Roman" w:eastAsia="宋体" w:cs="Times New Roman"/>
                <w:color w:val="auto"/>
                <w:kern w:val="0"/>
                <w:sz w:val="20"/>
                <w:szCs w:val="20"/>
                <w:highlight w:val="none"/>
              </w:rPr>
              <w:t>1314</w:t>
            </w:r>
            <w:r>
              <w:rPr>
                <w:rFonts w:hint="eastAsia" w:ascii="Times New Roman" w:hAnsi="Times New Roman" w:cs="Times New Roman"/>
                <w:color w:val="auto"/>
                <w:kern w:val="0"/>
                <w:sz w:val="20"/>
                <w:szCs w:val="20"/>
                <w:highlight w:val="none"/>
                <w:lang w:val="en-US" w:eastAsia="zh-CN"/>
              </w:rPr>
              <w:t>*</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杂粮加工</w:t>
            </w:r>
          </w:p>
        </w:tc>
        <w:tc>
          <w:tcPr>
            <w:tcW w:w="5184" w:type="dxa"/>
            <w:vMerge w:val="continue"/>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yellow"/>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val="en-US" w:eastAsia="zh-CN"/>
              </w:rPr>
            </w:pPr>
            <w:r>
              <w:rPr>
                <w:rFonts w:ascii="Times New Roman" w:hAnsi="Times New Roman" w:eastAsia="宋体" w:cs="Times New Roman"/>
                <w:color w:val="auto"/>
                <w:kern w:val="0"/>
                <w:sz w:val="20"/>
                <w:szCs w:val="20"/>
                <w:highlight w:val="none"/>
              </w:rPr>
              <w:t>1319</w:t>
            </w:r>
            <w:r>
              <w:rPr>
                <w:rFonts w:hint="eastAsia" w:ascii="Times New Roman" w:hAnsi="Times New Roman" w:cs="Times New Roman"/>
                <w:color w:val="auto"/>
                <w:kern w:val="0"/>
                <w:sz w:val="20"/>
                <w:szCs w:val="20"/>
                <w:highlight w:val="none"/>
                <w:lang w:val="en-US" w:eastAsia="zh-CN"/>
              </w:rPr>
              <w:t>*</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其他谷物磨制</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1321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宠物饲料加工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指专门为合法饲养的猫、狗、鱼、鸟等小动物提供食物的加工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1329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其他饲料加工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指适用于农场、农户饲养牲畜、家禽、水产品的饲料生产加工和用低值水产品及水产品加工废弃物（如鱼骨、内脏、虾壳）等为主要原料的饲料加工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1331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食用植物油加工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指用各种食用植物油料生产油脂，以及精制食用油的加工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1332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非食用植物油加工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指用各种非食用植物油料生产油脂的活动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1351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牲畜屠宰</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指对各种牲畜进行宰杀，以及鲜肉冷冻等保鲜活动，但不包括商业冷藏活动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1352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禽类屠宰</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指对各种禽类进行宰杀，以及鲜肉冷冻等保鲜活动，但不包括商业冷藏活动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1353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肉制品及副产品加工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指主要以各种畜、禽肉及畜、禽副产品为原料加工成熟肉制品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1361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水产品冷冻加工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指为了保鲜，将海水、淡水养殖或捕捞的鱼类、虾类、甲壳类、贝类、藻类等水生动物或植物进行的冷冻加工，但不包括商业冷藏活动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1362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鱼糜制品及水产品干腌制加工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指鱼糜制品制造，以及水产品的干制、腌制等加工活动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1363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鱼油提取及制品制造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指从鱼或鱼肝中提取油脂，并生产制品的活动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1369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其他水产品加工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指对水生动植物进行的其他加工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1371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蔬菜加工</w:t>
            </w:r>
          </w:p>
        </w:tc>
        <w:tc>
          <w:tcPr>
            <w:tcW w:w="5184" w:type="dxa"/>
            <w:vMerge w:val="restart"/>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eastAsia" w:ascii="Times New Roman" w:hAnsi="Times New Roman" w:eastAsia="宋体" w:cs="Times New Roman"/>
                <w:color w:val="auto"/>
                <w:kern w:val="0"/>
                <w:sz w:val="20"/>
                <w:szCs w:val="20"/>
                <w:highlight w:val="none"/>
              </w:rPr>
              <w:t>指用脱水、干制、冷藏、冷冻、腌制等方法，对蔬菜、菌类、水果、坚果的加工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1372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食用菌加工</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1373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水果和坚果加工</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1391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淀粉及淀粉制品制造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指用玉米、薯类、豆类及其他植物原料制作淀粉和淀粉制品的生产；还包括以淀粉为原料，经酶法或酸法转换得到的糖品生产活动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1392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豆制品制造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指以大豆、小豆、绿豆、豌豆、蚕豆等豆类为主要原料，经加工制成食品的活动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1393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蛋品加工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蛋品的加工活动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1399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其他未列明农副食品加工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上述未列明的农副食品加工活动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eastAsia" w:cs="Times New Roman"/>
                <w:color w:val="auto"/>
                <w:kern w:val="0"/>
                <w:sz w:val="20"/>
                <w:szCs w:val="20"/>
                <w:highlight w:val="none"/>
                <w:lang w:val="en-US" w:eastAsia="zh-CN"/>
              </w:rPr>
              <w:t>27</w:t>
            </w:r>
            <w:r>
              <w:rPr>
                <w:rFonts w:hint="default" w:ascii="Times New Roman" w:hAnsi="Times New Roman" w:eastAsia="宋体" w:cs="Times New Roman"/>
                <w:color w:val="auto"/>
                <w:kern w:val="0"/>
                <w:sz w:val="20"/>
                <w:szCs w:val="20"/>
                <w:highlight w:val="none"/>
              </w:rPr>
              <w:t>、绿色食品</w:t>
            </w:r>
          </w:p>
          <w:p>
            <w:pPr>
              <w:widowControl/>
              <w:jc w:val="both"/>
              <w:textAlignment w:val="center"/>
              <w:rPr>
                <w:rFonts w:hint="default"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1411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糕点、面包制造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指用米粉、小麦粉、豆粉为主要原料，配以辅料，经成型、油炸、烤制而成的各种食品生产活动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1419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饼干及其他焙烤食品制造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指以小麦粉（或糯米粉）、糖和油脂为主要原料，配以奶制品、蛋制品等辅料，经成型、焙烤制成的各种饼干，以及用薯类、谷类、豆类等制作的各种易于保存、食用方便的焙烤食品生产活动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1421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糖果、巧克力制造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糖果制造指以砂糖、葡萄糖浆或饴糖为主要原料，加入油脂、乳品、胶体、果仁、香料、食用色素等辅料制成甜味块状食品的生产活动；巧克力制造指以浆状、粉状或块状可可、可可脂、可可酱、砂糖、乳品等为主要原料加工制成巧克力及巧克力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1422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蜜饯制作</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指以水果、坚果、果皮及植物的其他部分制作糖果蜜饯的活动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1431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米、面制品制造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指以大米、小麦粉、杂粮等为主要原料，经加工制成各种未经蒸煮类米面制品的生产活动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1432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速冻食品制造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指以米、小麦粉、杂粮等为主要原料，以肉类、蔬菜等为辅料，经加工制成各类烹制或未烹制的主食食品后，立即采用速冻工艺制成的，并可以在冻结条件下运输储存及销售的各类主食食品的生产活动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1433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方便面制造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各类方便面</w:t>
            </w:r>
            <w:r>
              <w:rPr>
                <w:rFonts w:hint="eastAsia" w:ascii="Times New Roman" w:hAnsi="Times New Roman" w:cs="Times New Roman"/>
                <w:color w:val="auto"/>
                <w:kern w:val="0"/>
                <w:sz w:val="20"/>
                <w:szCs w:val="20"/>
                <w:highlight w:val="none"/>
                <w:lang w:eastAsia="zh-CN"/>
              </w:rPr>
              <w:t>、干吃面</w:t>
            </w:r>
            <w:r>
              <w:rPr>
                <w:rFonts w:hint="eastAsia" w:ascii="Times New Roman" w:hAnsi="Times New Roman" w:eastAsia="宋体" w:cs="Times New Roman"/>
                <w:color w:val="auto"/>
                <w:kern w:val="0"/>
                <w:sz w:val="20"/>
                <w:szCs w:val="20"/>
                <w:highlight w:val="none"/>
              </w:rPr>
              <w:t>食品</w:t>
            </w:r>
            <w:r>
              <w:rPr>
                <w:rFonts w:hint="eastAsia" w:ascii="Times New Roman" w:hAnsi="Times New Roman" w:cs="Times New Roman"/>
                <w:color w:val="auto"/>
                <w:kern w:val="0"/>
                <w:sz w:val="20"/>
                <w:szCs w:val="20"/>
                <w:highlight w:val="none"/>
                <w:lang w:eastAsia="zh-CN"/>
              </w:rPr>
              <w:t>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1439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其他方便食品制造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指用米、杂粮等为主要原料加工制成的，可以直接食用或只需简单蒸煮即可作为主食的各种方便主食食品的生产活动，以及其他未列明的方便食品制造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1441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液体乳制造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eastAsia" w:ascii="Times New Roman" w:hAnsi="Times New Roman" w:cs="Times New Roman"/>
                <w:color w:val="auto"/>
                <w:sz w:val="20"/>
                <w:szCs w:val="20"/>
                <w:highlight w:val="none"/>
                <w:lang w:eastAsia="zh-CN"/>
              </w:rPr>
              <w:t>指</w:t>
            </w:r>
            <w:r>
              <w:rPr>
                <w:rFonts w:hint="eastAsia" w:ascii="Times New Roman" w:hAnsi="Times New Roman" w:eastAsia="宋体" w:cs="Times New Roman"/>
                <w:color w:val="auto"/>
                <w:sz w:val="20"/>
                <w:szCs w:val="20"/>
                <w:highlight w:val="none"/>
              </w:rPr>
              <w:t>液体乳制造活动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1442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乳粉制造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全脂乳粉、全脂加糖乳粉、脱脂乳粉、全脂调味乳粉、脱脂调味乳粉、婴幼儿配方乳粉、其他配方乳粉等乳粉制造活动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1449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其他乳制品制造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其他乳制品制造活动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1451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肉、禽类罐头制造</w:t>
            </w:r>
          </w:p>
        </w:tc>
        <w:tc>
          <w:tcPr>
            <w:tcW w:w="5184" w:type="dxa"/>
            <w:vMerge w:val="restart"/>
            <w:tcBorders>
              <w:tl2br w:val="nil"/>
              <w:tr2bl w:val="nil"/>
            </w:tcBorders>
            <w:noWrap w:val="0"/>
            <w:vAlign w:val="center"/>
          </w:tcPr>
          <w:p>
            <w:pPr>
              <w:widowControl/>
              <w:textAlignment w:val="center"/>
              <w:rPr>
                <w:rFonts w:hint="eastAsia" w:ascii="Times New Roman" w:hAnsi="Times New Roman" w:eastAsia="宋体" w:cs="Times New Roman"/>
                <w:color w:val="auto"/>
                <w:sz w:val="20"/>
                <w:szCs w:val="20"/>
                <w:highlight w:val="none"/>
                <w:lang w:eastAsia="zh-CN"/>
              </w:rPr>
            </w:pPr>
            <w:r>
              <w:rPr>
                <w:rFonts w:hint="eastAsia" w:ascii="Times New Roman" w:hAnsi="Times New Roman" w:eastAsia="宋体" w:cs="Times New Roman"/>
                <w:color w:val="auto"/>
                <w:kern w:val="0"/>
                <w:sz w:val="20"/>
                <w:szCs w:val="20"/>
                <w:highlight w:val="none"/>
              </w:rPr>
              <w:t>指将符合要求的原料经处理、分选、修整、烹调（或不经烹调）、装罐、密封、杀菌、冷却（或无菌包装）等罐头生产工艺制成的，达到商业无菌要求，并可以在常温下储存的罐头食品的制造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1452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水产品罐头制造</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1453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蔬菜、水果罐头制造</w:t>
            </w:r>
          </w:p>
        </w:tc>
        <w:tc>
          <w:tcPr>
            <w:tcW w:w="5184" w:type="dxa"/>
            <w:vMerge w:val="continue"/>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1459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其他罐头食品制造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指婴幼儿辅助食品类罐头、米面食品类罐头（如八宝粥罐头等）及上述未列明的罐头食品制造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1461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味精制造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指以淀粉或糖蜜为原料，经微生物发酵、提取、精制等工序制成的，谷氨酸钠含量在</w:t>
            </w:r>
            <w:r>
              <w:rPr>
                <w:rFonts w:ascii="Times New Roman" w:hAnsi="Times New Roman" w:eastAsia="宋体" w:cs="Times New Roman"/>
                <w:color w:val="auto"/>
                <w:kern w:val="0"/>
                <w:sz w:val="20"/>
                <w:szCs w:val="20"/>
                <w:highlight w:val="none"/>
              </w:rPr>
              <w:t>80</w:t>
            </w:r>
            <w:r>
              <w:rPr>
                <w:rFonts w:hint="eastAsia" w:ascii="Times New Roman" w:hAnsi="Times New Roman" w:eastAsia="宋体" w:cs="Times New Roman"/>
                <w:color w:val="auto"/>
                <w:kern w:val="0"/>
                <w:sz w:val="20"/>
                <w:szCs w:val="20"/>
                <w:highlight w:val="none"/>
              </w:rPr>
              <w:t>％及以上的鲜味剂的生产活动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1462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酱油、食醋及类似制品制造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指以大豆和（或）脱脂大豆，小麦和（或）麸皮为原料，经微生物发酵制成的各种酱油和酱类制品，以及单独或混合使用各种含有淀粉、糖的物料或酒精，经微生物发酵酿制的酸性调味品的生产活动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1469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其他调味品、发酵制品制造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其他调味品、发酵制品的制造活动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营养食品制造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指以新食品原料和其他富含营养成分的传统食材为原料，经各种常规食品制造技术生产的特殊医学用途配方食品、婴幼儿配方食品和其他适用于特定人群的主辅食品的生产活动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保健食品制造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指标明具有特定保健功能的食品，适用于特定人群食用，具有调节机体功能，不以治疗为目的，对人体不产生急性、亚急性或慢性危害，以补充维生素、矿物质为目的的营养素补充等保健食品制造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冷冻饮品及食用冰制造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指以砂糖、乳制品、豆制品、蛋制品、油脂、果料和食用添加剂等经混合配制、加热杀菌、均质、老化、冻结（凝冻）而成的冷食饮品的制造，以及食用冰的制造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盐加工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指以原盐为原料，经过化卤、蒸发、洗涤、粉碎、干燥、脱水、筛分等工序，或在其中添加碘酸钾及调味品等加工制成盐产品的生产活动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食品及饲料添加剂制造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指增加或改善食品特色的化学品，以及补充动物饲料的营养成分和促进生长、防治疫病的制剂的生产活动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1499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其他未列明食品制造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其他未列明食品制造</w:t>
            </w:r>
            <w:r>
              <w:rPr>
                <w:rFonts w:hint="eastAsia" w:ascii="Times New Roman" w:hAnsi="Times New Roman" w:cs="Times New Roman"/>
                <w:color w:val="auto"/>
                <w:kern w:val="0"/>
                <w:sz w:val="20"/>
                <w:szCs w:val="20"/>
                <w:highlight w:val="none"/>
                <w:lang w:eastAsia="zh-CN"/>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酒精制造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指用玉米、小麦、薯类等淀粉质原料或用糖蜜等含糖质原料，经蒸煮、糖化、发酵及蒸馏等工艺制成的酒精产品的生产活动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白酒制造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指以高粱等粮谷为主要原料，以大曲、小曲或麸曲及酒母等为糖化发酵剂，经蒸煮、糖化、发酵、蒸馏、陈酿、勾兑而制成的蒸馏酒产品的生产活动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啤酒制造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指以麦芽（包括特种麦芽）、水为主要原料，加啤酒花，经酵母发酵酿制而成，含二氧化碳、起泡、低酒精度的发酵酒产品（包括无醇啤酒，也称脱醇啤酒）的生产活动，以及啤酒专用原料麦芽的生产活动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黄酒制造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指以稻米、黍米、黑米、小麦、玉米等为主要原料，加曲、酵母等糖化发酵剂发酵酿制而成的发酵酒产品的生产活动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葡萄酒制造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指以新鲜葡萄或葡萄汁为原料，经全部或部分发酵酿制而成，含有一定酒精度的发酵酒产品的生产活动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1519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其他酒制造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指除葡萄酒以外的果酒、配制酒以及上述未列明的其他酒产品的生产活动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碳酸饮料制造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指在一定条件下充入二氧化碳气的饮用品制造，其成品中二氧化碳气的含量（</w:t>
            </w:r>
            <w:r>
              <w:rPr>
                <w:rFonts w:ascii="Times New Roman" w:hAnsi="Times New Roman" w:eastAsia="宋体" w:cs="Times New Roman"/>
                <w:color w:val="auto"/>
                <w:kern w:val="0"/>
                <w:sz w:val="20"/>
                <w:szCs w:val="20"/>
                <w:highlight w:val="none"/>
              </w:rPr>
              <w:t>20</w:t>
            </w:r>
            <w:r>
              <w:rPr>
                <w:rFonts w:hint="eastAsia" w:ascii="Times New Roman" w:hAnsi="Times New Roman" w:eastAsia="宋体" w:cs="Times New Roman"/>
                <w:color w:val="auto"/>
                <w:kern w:val="0"/>
                <w:sz w:val="20"/>
                <w:szCs w:val="20"/>
                <w:highlight w:val="none"/>
              </w:rPr>
              <w:t>℃时的体积倍数）不低于</w:t>
            </w:r>
            <w:r>
              <w:rPr>
                <w:rFonts w:ascii="Times New Roman" w:hAnsi="Times New Roman" w:eastAsia="宋体" w:cs="Times New Roman"/>
                <w:color w:val="auto"/>
                <w:kern w:val="0"/>
                <w:sz w:val="20"/>
                <w:szCs w:val="20"/>
                <w:highlight w:val="none"/>
              </w:rPr>
              <w:t>2.0</w:t>
            </w:r>
            <w:r>
              <w:rPr>
                <w:rFonts w:hint="eastAsia" w:ascii="Times New Roman" w:hAnsi="Times New Roman" w:eastAsia="宋体" w:cs="Times New Roman"/>
                <w:color w:val="auto"/>
                <w:kern w:val="0"/>
                <w:sz w:val="20"/>
                <w:szCs w:val="20"/>
                <w:highlight w:val="none"/>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瓶（罐）装饮用水制造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指以地下矿泉水和符合生活饮用水卫生标准的水为水源加工制成的，密封于塑料瓶（罐）、玻璃瓶或其他容器中，不含任何添加剂，可直接饮用的水的生产活动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果菜汁及果菜汁饮料制造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指以新鲜或冷藏水果和蔬菜为原料，经加工制得的果菜汁液制品生产活动，以及在果汁或浓缩果汁、蔬菜汁中加入水、糖液、酸味剂等，经调制而成的可直接饮用的饮品（果汁含量不低于</w:t>
            </w:r>
            <w:r>
              <w:rPr>
                <w:rFonts w:ascii="Times New Roman" w:hAnsi="Times New Roman" w:eastAsia="宋体" w:cs="Times New Roman"/>
                <w:color w:val="auto"/>
                <w:kern w:val="0"/>
                <w:sz w:val="20"/>
                <w:szCs w:val="20"/>
                <w:highlight w:val="none"/>
              </w:rPr>
              <w:t>10</w:t>
            </w:r>
            <w:r>
              <w:rPr>
                <w:rFonts w:hint="eastAsia" w:ascii="Times New Roman" w:hAnsi="Times New Roman" w:eastAsia="宋体" w:cs="Times New Roman"/>
                <w:color w:val="auto"/>
                <w:kern w:val="0"/>
                <w:sz w:val="20"/>
                <w:szCs w:val="20"/>
                <w:highlight w:val="none"/>
              </w:rPr>
              <w:t>％）的生产活动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含乳饮料和植物蛋白饮料制造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鲜乳或乳制品为原料（经发酵或未经发酵），加入水、糖液等调制而成的可直接饮用的含乳饮品的生产活动，以及以蛋白质含量较高的植物的果实、种子或核果类、坚果类的果仁等为原料，在其加工制得的浆液中加入水、糖液等调制而成的可直接饮用的植物蛋白饮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固体饮料制造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指以糖、食品添加剂、果汁或植物抽提物等为原料，加工制成粉末状、颗粒状或块状制品</w:t>
            </w:r>
            <w:r>
              <w:rPr>
                <w:rFonts w:ascii="Times New Roman" w:hAnsi="Times New Roman" w:eastAsia="宋体" w:cs="Times New Roman"/>
                <w:color w:val="auto"/>
                <w:kern w:val="0"/>
                <w:sz w:val="20"/>
                <w:szCs w:val="20"/>
                <w:highlight w:val="none"/>
              </w:rPr>
              <w:t>[</w:t>
            </w:r>
            <w:r>
              <w:rPr>
                <w:rFonts w:hint="eastAsia" w:ascii="Times New Roman" w:hAnsi="Times New Roman" w:eastAsia="宋体" w:cs="Times New Roman"/>
                <w:color w:val="auto"/>
                <w:kern w:val="0"/>
                <w:sz w:val="20"/>
                <w:szCs w:val="20"/>
                <w:highlight w:val="none"/>
              </w:rPr>
              <w:t>其成品水分</w:t>
            </w:r>
            <w:r>
              <w:rPr>
                <w:rFonts w:hint="eastAsia" w:ascii="Times New Roman" w:hAnsi="Times New Roman" w:cs="Times New Roman"/>
                <w:color w:val="auto"/>
                <w:kern w:val="0"/>
                <w:sz w:val="20"/>
                <w:szCs w:val="20"/>
                <w:highlight w:val="none"/>
                <w:lang w:eastAsia="zh-CN"/>
              </w:rPr>
              <w:t>（</w:t>
            </w:r>
            <w:r>
              <w:rPr>
                <w:rFonts w:hint="eastAsia" w:ascii="Times New Roman" w:hAnsi="Times New Roman" w:eastAsia="宋体" w:cs="Times New Roman"/>
                <w:color w:val="auto"/>
                <w:kern w:val="0"/>
                <w:sz w:val="20"/>
                <w:szCs w:val="20"/>
                <w:highlight w:val="none"/>
              </w:rPr>
              <w:t>质量分数</w:t>
            </w:r>
            <w:r>
              <w:rPr>
                <w:rFonts w:hint="eastAsia" w:ascii="Times New Roman" w:hAnsi="Times New Roman" w:cs="Times New Roman"/>
                <w:color w:val="auto"/>
                <w:kern w:val="0"/>
                <w:sz w:val="20"/>
                <w:szCs w:val="20"/>
                <w:highlight w:val="none"/>
                <w:lang w:eastAsia="zh-CN"/>
              </w:rPr>
              <w:t>）</w:t>
            </w:r>
            <w:r>
              <w:rPr>
                <w:rFonts w:hint="eastAsia" w:ascii="Times New Roman" w:hAnsi="Times New Roman" w:eastAsia="宋体" w:cs="Times New Roman"/>
                <w:color w:val="auto"/>
                <w:kern w:val="0"/>
                <w:sz w:val="20"/>
                <w:szCs w:val="20"/>
                <w:highlight w:val="none"/>
              </w:rPr>
              <w:t>不高于</w:t>
            </w:r>
            <w:r>
              <w:rPr>
                <w:rFonts w:ascii="Times New Roman" w:hAnsi="Times New Roman" w:eastAsia="宋体" w:cs="Times New Roman"/>
                <w:color w:val="auto"/>
                <w:kern w:val="0"/>
                <w:sz w:val="20"/>
                <w:szCs w:val="20"/>
                <w:highlight w:val="none"/>
              </w:rPr>
              <w:t>5</w:t>
            </w:r>
            <w:r>
              <w:rPr>
                <w:rFonts w:hint="eastAsia" w:ascii="Times New Roman" w:hAnsi="Times New Roman" w:eastAsia="宋体" w:cs="Times New Roman"/>
                <w:color w:val="auto"/>
                <w:kern w:val="0"/>
                <w:sz w:val="20"/>
                <w:szCs w:val="20"/>
                <w:highlight w:val="none"/>
              </w:rPr>
              <w:t>％的生产活动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1529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茶饮料及其他饮料制造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指茶饮料、特殊用途饮料以及其他未列明的饮料制造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1530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精制茶加工</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指对毛茶或半成品原料茶进行筛分、轧切、风选、干燥、匀堆、拼配等精制加工茶叶的生产活动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b/>
                <w:bCs/>
                <w:color w:val="auto"/>
                <w:kern w:val="0"/>
                <w:sz w:val="20"/>
                <w:szCs w:val="20"/>
                <w:highlight w:val="none"/>
              </w:rPr>
            </w:pPr>
            <w:r>
              <w:rPr>
                <w:rFonts w:hint="default" w:ascii="Times New Roman" w:hAnsi="Times New Roman" w:cs="Times New Roman"/>
                <w:b/>
                <w:bCs/>
                <w:color w:val="auto"/>
                <w:kern w:val="0"/>
                <w:sz w:val="20"/>
                <w:szCs w:val="20"/>
                <w:highlight w:val="none"/>
                <w:lang w:eastAsia="zh-CN"/>
              </w:rPr>
              <w:t>九</w:t>
            </w:r>
            <w:r>
              <w:rPr>
                <w:rFonts w:hint="default" w:ascii="Times New Roman" w:hAnsi="Times New Roman" w:eastAsia="宋体" w:cs="Times New Roman"/>
                <w:b/>
                <w:bCs/>
                <w:color w:val="auto"/>
                <w:kern w:val="0"/>
                <w:sz w:val="20"/>
                <w:szCs w:val="20"/>
                <w:highlight w:val="none"/>
              </w:rPr>
              <w:t>、高端</w:t>
            </w:r>
            <w:r>
              <w:rPr>
                <w:rFonts w:hint="eastAsia" w:eastAsia="宋体" w:cs="Times New Roman"/>
                <w:b/>
                <w:bCs/>
                <w:color w:val="auto"/>
                <w:kern w:val="0"/>
                <w:sz w:val="20"/>
                <w:szCs w:val="20"/>
                <w:highlight w:val="none"/>
                <w:lang w:eastAsia="zh-CN"/>
              </w:rPr>
              <w:t>消费品</w:t>
            </w:r>
            <w:r>
              <w:rPr>
                <w:rFonts w:hint="default" w:ascii="Times New Roman" w:hAnsi="Times New Roman" w:eastAsia="宋体" w:cs="Times New Roman"/>
                <w:b/>
                <w:bCs/>
                <w:color w:val="auto"/>
                <w:kern w:val="0"/>
                <w:sz w:val="20"/>
                <w:szCs w:val="20"/>
                <w:highlight w:val="none"/>
              </w:rPr>
              <w:t>加工产业</w:t>
            </w:r>
          </w:p>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jc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28.</w:t>
            </w:r>
            <w:r>
              <w:rPr>
                <w:rFonts w:hint="default" w:ascii="Times New Roman" w:hAnsi="Times New Roman" w:cs="Times New Roman"/>
                <w:color w:val="auto"/>
                <w:kern w:val="0"/>
                <w:sz w:val="20"/>
                <w:szCs w:val="20"/>
                <w:highlight w:val="none"/>
                <w:lang w:eastAsia="zh-CN"/>
              </w:rPr>
              <w:t>服饰、</w:t>
            </w:r>
            <w:r>
              <w:rPr>
                <w:rFonts w:hint="default" w:ascii="Times New Roman" w:hAnsi="Times New Roman" w:eastAsia="宋体" w:cs="Times New Roman"/>
                <w:color w:val="auto"/>
                <w:kern w:val="0"/>
                <w:sz w:val="20"/>
                <w:szCs w:val="20"/>
                <w:highlight w:val="none"/>
              </w:rPr>
              <w:t>工美和体育用品</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cs="Times New Roman"/>
                <w:color w:val="auto"/>
                <w:kern w:val="0"/>
                <w:sz w:val="20"/>
                <w:szCs w:val="20"/>
                <w:highlight w:val="none"/>
                <w:lang w:val="en-US" w:eastAsia="zh-CN"/>
              </w:rPr>
              <w:t>1811</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cs="Times New Roman"/>
                <w:color w:val="auto"/>
                <w:kern w:val="0"/>
                <w:sz w:val="20"/>
                <w:szCs w:val="20"/>
                <w:highlight w:val="none"/>
                <w:lang w:eastAsia="zh-CN"/>
              </w:rPr>
              <w:t>运动机织服装制造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cs="Times New Roman"/>
                <w:color w:val="auto"/>
                <w:kern w:val="0"/>
                <w:sz w:val="20"/>
                <w:szCs w:val="20"/>
                <w:highlight w:val="none"/>
                <w:lang w:eastAsia="zh-CN"/>
              </w:rPr>
              <w:t>指运动服、滑雪服、登山服、游泳衣等服装制造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eastAsia" w:cs="Times New Roman"/>
                <w:color w:val="auto"/>
                <w:kern w:val="0"/>
                <w:sz w:val="20"/>
                <w:szCs w:val="20"/>
                <w:highlight w:val="none"/>
                <w:lang w:val="en-US" w:eastAsia="zh-CN"/>
              </w:rPr>
            </w:pPr>
            <w:r>
              <w:rPr>
                <w:rFonts w:hint="default" w:ascii="Times New Roman" w:hAnsi="Times New Roman" w:eastAsia="宋体" w:cs="Times New Roman"/>
                <w:i w:val="0"/>
                <w:iCs w:val="0"/>
                <w:color w:val="auto"/>
                <w:kern w:val="0"/>
                <w:sz w:val="20"/>
                <w:szCs w:val="20"/>
                <w:highlight w:val="none"/>
                <w:u w:val="none"/>
                <w:lang w:val="en-US" w:eastAsia="zh-CN" w:bidi="ar"/>
              </w:rPr>
              <w:t>1830</w:t>
            </w:r>
          </w:p>
        </w:tc>
        <w:tc>
          <w:tcPr>
            <w:tcW w:w="1145" w:type="dxa"/>
            <w:tcBorders>
              <w:tl2br w:val="nil"/>
              <w:tr2bl w:val="nil"/>
            </w:tcBorders>
            <w:noWrap w:val="0"/>
            <w:vAlign w:val="center"/>
          </w:tcPr>
          <w:p>
            <w:pPr>
              <w:keepNext w:val="0"/>
              <w:keepLines w:val="0"/>
              <w:widowControl/>
              <w:suppressLineNumbers w:val="0"/>
              <w:jc w:val="left"/>
              <w:textAlignment w:val="center"/>
              <w:rPr>
                <w:rFonts w:hint="eastAsia" w:cs="Times New Roman"/>
                <w:color w:val="auto"/>
                <w:kern w:val="0"/>
                <w:sz w:val="20"/>
                <w:szCs w:val="20"/>
                <w:highlight w:val="none"/>
                <w:lang w:eastAsia="zh-CN"/>
              </w:rPr>
            </w:pPr>
            <w:r>
              <w:rPr>
                <w:rFonts w:hint="eastAsia" w:ascii="宋体" w:hAnsi="宋体" w:eastAsia="宋体" w:cs="宋体"/>
                <w:i w:val="0"/>
                <w:iCs w:val="0"/>
                <w:color w:val="auto"/>
                <w:kern w:val="0"/>
                <w:sz w:val="20"/>
                <w:szCs w:val="20"/>
                <w:highlight w:val="none"/>
                <w:u w:val="none"/>
                <w:lang w:val="en-US" w:eastAsia="zh-CN" w:bidi="ar"/>
              </w:rPr>
              <w:t>服饰制造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eastAsia" w:cs="Times New Roman"/>
                <w:color w:val="auto"/>
                <w:kern w:val="0"/>
                <w:sz w:val="20"/>
                <w:szCs w:val="20"/>
                <w:highlight w:val="none"/>
                <w:lang w:eastAsia="zh-CN"/>
              </w:rPr>
            </w:pPr>
            <w:r>
              <w:rPr>
                <w:rFonts w:hint="eastAsia" w:ascii="宋体" w:hAnsi="宋体" w:eastAsia="宋体" w:cs="宋体"/>
                <w:i w:val="0"/>
                <w:iCs w:val="0"/>
                <w:color w:val="auto"/>
                <w:kern w:val="0"/>
                <w:sz w:val="20"/>
                <w:szCs w:val="20"/>
                <w:highlight w:val="none"/>
                <w:u w:val="none"/>
                <w:lang w:val="en-US" w:eastAsia="zh-CN" w:bidi="ar"/>
              </w:rPr>
              <w:t>指帽子、手套、围巾、领带、领结、手绢，以及袜子等服装饰品的加工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2431</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雕塑工艺品制造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玉石、宝石、象牙、角、骨、贝壳等硬质材料，木、竹、椰壳、树根、软木等天然植物，以及石膏、泥、面、塑料等为原料，经雕刻、琢、磨、捏或塑等艺术加工而制成的各种供欣赏、实用和礼仪用的工艺品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2432</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金属工艺品制造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金、银、铜、铁、锡等各种金属为原料，经过制胎、浇铸、锻打、錾刻、搓丝、焊接、纺织、镶嵌、点兰、烧制、打磨、电镀等各种工艺加工制成的造型美观、花纹图案精致的各种供欣赏、实用和礼仪用的工艺美术品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2433</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漆器工艺品制造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指将半生漆、腰果漆加工调配成各种鲜艳的漆料，以木、纸、塑料、铜、布等作胎，采用推光、雕填、彩画、镶嵌、刻灰等传统工艺和现代漆器工艺进行的各种供欣赏、实用和礼仪用的工艺制品制作活动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2434</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花画工艺品制造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绢、丝、绒、纸、涤纶、塑料、羽毛、通草以及鲜花草等为原料，经造型设计、模压、剪贴、干燥等工艺精制而成的花、果、叶等人造花类工艺品，以画面出现、可以挂或摆的具有欣赏性、装饰性和礼仪用的画类工艺品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2435</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天然植物纤维编织工艺品制造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指以竹、藤、棕、草、柳、葵、麻等天然植物纤维为材料，经编织或镶嵌而成具有造型艺术或图案花纹，以欣赏为主的工艺陈列品、礼仪用品以及工艺实用品的制作活动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2436</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抽纱刺绣工艺品制造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棉、麻、丝、毛及人造纤维纺织品等为主要原料，经设计、刺绣、抽、拉、钩等工艺加工各种生活装饰用品，以及以纺织品为主要原料，经特殊手工工艺或民间工艺方法加工成各种具有较强装饰效果的生活用纺织品和礼仪用品的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2437</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地毯、挂毯制造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指以羊毛、丝、棉、麻及人造纤维等为原料，经手工编织、机织、栽绒等方式加工而成的各种具有装饰性的地面覆盖物或可用于悬挂、垫坐等用途的生活装饰用品和礼仪用品的制作活动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2438</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珠宝首饰及有关物品制造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指以金、银、铂等贵金属及其合金以及钻石、宝石、玉石、翡翠、珍珠等为原料，经金属加工和连结组合、镶嵌等工艺加工制作各种图案的装饰品和礼仪用品的制作活动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2439</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其他工艺美术及礼仪用品制造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cs="Times New Roman"/>
                <w:color w:val="auto"/>
                <w:kern w:val="0"/>
                <w:sz w:val="20"/>
                <w:szCs w:val="20"/>
                <w:highlight w:val="none"/>
                <w:lang w:val="en-US" w:eastAsia="zh-CN" w:bidi="ar-SA"/>
              </w:rPr>
              <w:t>指</w:t>
            </w:r>
            <w:r>
              <w:rPr>
                <w:rFonts w:hint="default" w:ascii="Times New Roman" w:hAnsi="Times New Roman" w:eastAsia="宋体" w:cs="Times New Roman"/>
                <w:color w:val="auto"/>
                <w:kern w:val="0"/>
                <w:sz w:val="20"/>
                <w:szCs w:val="20"/>
                <w:highlight w:val="none"/>
                <w:lang w:val="en-US" w:eastAsia="zh-CN" w:bidi="ar-SA"/>
              </w:rPr>
              <w:t>其他工艺美术及礼仪用品制造</w:t>
            </w:r>
            <w:r>
              <w:rPr>
                <w:rFonts w:hint="eastAsia" w:ascii="Times New Roman" w:hAnsi="Times New Roman" w:cs="Times New Roman"/>
                <w:color w:val="auto"/>
                <w:kern w:val="0"/>
                <w:sz w:val="20"/>
                <w:szCs w:val="20"/>
                <w:highlight w:val="none"/>
                <w:lang w:val="en-US" w:eastAsia="zh-CN" w:bidi="ar-SA"/>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2441</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球类制造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指各种皮制、胶制、革制的可充气的运动用球，以及其他材料制成的各种运动用硬球、软球等球类产品的生产活动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2442</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专项运动器材及配件制造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指各项竞技比赛和训练用器材及用品，体育场馆设施及器件的生产活动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2443</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健身器材制造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指供健身房、家庭或体育训练用的健身器材及运动物品的制造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2444</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运动防护用具制造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指用各种材质，为各项运动特制手套、鞋、帽和护具的生产活动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2449</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其他体育用品制造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rPr>
              <w:t>指钓鱼专用的各种用具及用品，以及上述未列明的体育用品制造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tcBorders>
              <w:tl2br w:val="nil"/>
              <w:tr2bl w:val="nil"/>
            </w:tcBorders>
            <w:noWrap w:val="0"/>
            <w:vAlign w:val="center"/>
          </w:tcPr>
          <w:p>
            <w:pPr>
              <w:jc w:val="center"/>
              <w:rPr>
                <w:rFonts w:hint="default" w:ascii="Times New Roman" w:hAnsi="Times New Roman" w:eastAsia="宋体" w:cs="Times New Roman"/>
                <w:color w:val="auto"/>
                <w:sz w:val="20"/>
                <w:szCs w:val="20"/>
                <w:highlight w:val="none"/>
                <w:lang w:val="en-US" w:eastAsia="zh-CN"/>
              </w:rPr>
            </w:pPr>
            <w:r>
              <w:rPr>
                <w:rFonts w:hint="eastAsia" w:cs="Times New Roman"/>
                <w:color w:val="auto"/>
                <w:sz w:val="20"/>
                <w:szCs w:val="20"/>
                <w:highlight w:val="none"/>
                <w:lang w:val="en-US" w:eastAsia="zh-CN"/>
              </w:rPr>
              <w:t>29.高端包装与特种印刷</w:t>
            </w: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2319*</w:t>
            </w:r>
          </w:p>
        </w:tc>
        <w:tc>
          <w:tcPr>
            <w:tcW w:w="1145" w:type="dxa"/>
            <w:tcBorders>
              <w:tl2br w:val="nil"/>
              <w:tr2bl w:val="nil"/>
            </w:tcBorders>
            <w:noWrap w:val="0"/>
            <w:vAlign w:val="center"/>
          </w:tcPr>
          <w:p>
            <w:pPr>
              <w:keepNext w:val="0"/>
              <w:keepLines w:val="0"/>
              <w:widowControl/>
              <w:suppressLineNumbers w:val="0"/>
              <w:jc w:val="left"/>
              <w:textAlignment w:val="center"/>
              <w:rPr>
                <w:rFonts w:hint="eastAsia" w:ascii="Times New Roman" w:hAnsi="Times New Roman" w:eastAsia="宋体" w:cs="Times New Roman"/>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包装装潢及其他印刷</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指根据一定的商品属性、形态，采用一定的包装材料，经过对商品包装的造型结构艺术和图案文字的设计与安排来装饰美化商品的印刷，以及其他</w:t>
            </w:r>
            <w:r>
              <w:rPr>
                <w:rFonts w:hint="eastAsia" w:ascii="Times New Roman" w:hAnsi="Times New Roman" w:eastAsia="宋体" w:cs="Times New Roman"/>
                <w:color w:val="auto"/>
                <w:kern w:val="0"/>
                <w:sz w:val="20"/>
                <w:szCs w:val="20"/>
                <w:highlight w:val="none"/>
                <w:lang w:eastAsia="zh-CN"/>
              </w:rPr>
              <w:t>印刷含有高新技术的</w:t>
            </w:r>
            <w:r>
              <w:rPr>
                <w:rFonts w:hint="eastAsia" w:ascii="Times New Roman" w:hAnsi="Times New Roman" w:eastAsia="宋体" w:cs="Times New Roman"/>
                <w:color w:val="auto"/>
                <w:kern w:val="0"/>
                <w:sz w:val="20"/>
                <w:szCs w:val="20"/>
                <w:highlight w:val="none"/>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l2br w:val="nil"/>
              <w:tr2bl w:val="nil"/>
            </w:tcBorders>
            <w:noWrap w:val="0"/>
            <w:vAlign w:val="center"/>
          </w:tcPr>
          <w:p>
            <w:pPr>
              <w:jc w:val="center"/>
              <w:textAlignment w:val="center"/>
              <w:rPr>
                <w:rFonts w:ascii="Times New Roman" w:hAnsi="Times New Roman" w:eastAsia="宋体" w:cs="Times New Roman"/>
                <w:b/>
                <w:bCs/>
                <w:color w:val="auto"/>
                <w:kern w:val="0"/>
                <w:sz w:val="20"/>
                <w:szCs w:val="20"/>
                <w:highlight w:val="none"/>
              </w:rPr>
            </w:pPr>
            <w:r>
              <w:rPr>
                <w:rFonts w:hint="default" w:ascii="Times New Roman" w:hAnsi="Times New Roman" w:cs="Times New Roman"/>
                <w:b/>
                <w:bCs/>
                <w:color w:val="auto"/>
                <w:kern w:val="0"/>
                <w:sz w:val="20"/>
                <w:szCs w:val="20"/>
                <w:highlight w:val="none"/>
                <w:lang w:eastAsia="zh-CN"/>
              </w:rPr>
              <w:t>十</w:t>
            </w:r>
            <w:r>
              <w:rPr>
                <w:rFonts w:hint="default" w:ascii="Times New Roman" w:hAnsi="Times New Roman" w:eastAsia="宋体" w:cs="Times New Roman"/>
                <w:b/>
                <w:bCs/>
                <w:color w:val="auto"/>
                <w:kern w:val="0"/>
                <w:sz w:val="20"/>
                <w:szCs w:val="20"/>
                <w:highlight w:val="none"/>
              </w:rPr>
              <w:t>、其他</w:t>
            </w: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cs="Times New Roman"/>
                <w:color w:val="auto"/>
                <w:kern w:val="0"/>
                <w:sz w:val="20"/>
                <w:szCs w:val="20"/>
                <w:highlight w:val="none"/>
                <w:lang w:val="en-US" w:eastAsia="zh-CN"/>
              </w:rPr>
              <w:t>30</w:t>
            </w:r>
            <w:r>
              <w:rPr>
                <w:rFonts w:hint="eastAsia" w:ascii="Times New Roman" w:hAnsi="Times New Roman" w:eastAsia="宋体" w:cs="Times New Roman"/>
                <w:color w:val="auto"/>
                <w:kern w:val="0"/>
                <w:sz w:val="20"/>
                <w:szCs w:val="20"/>
                <w:highlight w:val="none"/>
              </w:rPr>
              <w:t>、有色金属冶采选炼及压延加工</w:t>
            </w: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0911</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铜矿采选</w:t>
            </w:r>
          </w:p>
        </w:tc>
        <w:tc>
          <w:tcPr>
            <w:tcW w:w="5184" w:type="dxa"/>
            <w:tcBorders>
              <w:tl2br w:val="nil"/>
              <w:tr2bl w:val="nil"/>
            </w:tcBorders>
            <w:noWrap w:val="0"/>
            <w:vAlign w:val="center"/>
          </w:tcPr>
          <w:p>
            <w:pPr>
              <w:widowControl/>
              <w:spacing w:line="240" w:lineRule="auto"/>
              <w:jc w:val="left"/>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 xml:space="preserve"> 指对铜有色金属矿的采选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0919</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其他常用有色金属矿采选</w:t>
            </w:r>
          </w:p>
        </w:tc>
        <w:tc>
          <w:tcPr>
            <w:tcW w:w="5184" w:type="dxa"/>
            <w:tcBorders>
              <w:tl2br w:val="nil"/>
              <w:tr2bl w:val="nil"/>
            </w:tcBorders>
            <w:noWrap w:val="0"/>
            <w:vAlign w:val="center"/>
          </w:tcPr>
          <w:p>
            <w:pPr>
              <w:widowControl/>
              <w:spacing w:line="240" w:lineRule="auto"/>
              <w:jc w:val="left"/>
              <w:textAlignment w:val="center"/>
              <w:rPr>
                <w:rFonts w:hint="default"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汞矿、铋矿、镉矿、钛矿、钠矿等其他常用有色金属矿的采选活动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0921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金矿采选</w:t>
            </w:r>
          </w:p>
        </w:tc>
        <w:tc>
          <w:tcPr>
            <w:tcW w:w="5184" w:type="dxa"/>
            <w:tcBorders>
              <w:tl2br w:val="nil"/>
              <w:tr2bl w:val="nil"/>
            </w:tcBorders>
            <w:noWrap w:val="0"/>
            <w:vAlign w:val="center"/>
          </w:tcPr>
          <w:p>
            <w:pPr>
              <w:widowControl/>
              <w:spacing w:line="240" w:lineRule="auto"/>
              <w:jc w:val="left"/>
              <w:textAlignment w:val="center"/>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指对在地壳中含量极少的金、银和铂族元素（铂、铱、锇、钌、钯、铑）矿的采选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3221</w:t>
            </w:r>
          </w:p>
        </w:tc>
        <w:tc>
          <w:tcPr>
            <w:tcW w:w="11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金冶炼</w:t>
            </w:r>
          </w:p>
        </w:tc>
        <w:tc>
          <w:tcPr>
            <w:tcW w:w="5184" w:type="dxa"/>
            <w:tcBorders>
              <w:tl2br w:val="nil"/>
              <w:tr2bl w:val="nil"/>
            </w:tcBorders>
            <w:noWrap w:val="0"/>
            <w:vAlign w:val="center"/>
          </w:tcPr>
          <w:p>
            <w:pPr>
              <w:widowControl/>
              <w:spacing w:line="240" w:lineRule="auto"/>
              <w:jc w:val="left"/>
              <w:textAlignment w:val="center"/>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指用金精（块）矿、阳极泥（冶炼其他有色金属时回收的阳极泥含金）、废杂金提炼黄金的生产活动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3222</w:t>
            </w:r>
          </w:p>
        </w:tc>
        <w:tc>
          <w:tcPr>
            <w:tcW w:w="1145" w:type="dxa"/>
            <w:tcBorders>
              <w:tl2br w:val="nil"/>
              <w:tr2bl w:val="nil"/>
            </w:tcBorders>
            <w:noWrap w:val="0"/>
            <w:vAlign w:val="top"/>
          </w:tcPr>
          <w:p>
            <w:pPr>
              <w:spacing w:line="320" w:lineRule="exact"/>
              <w:jc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银冶炼</w:t>
            </w:r>
          </w:p>
        </w:tc>
        <w:tc>
          <w:tcPr>
            <w:tcW w:w="5184" w:type="dxa"/>
            <w:tcBorders>
              <w:tl2br w:val="nil"/>
              <w:tr2bl w:val="nil"/>
            </w:tcBorders>
            <w:noWrap w:val="0"/>
            <w:vAlign w:val="center"/>
          </w:tcPr>
          <w:p>
            <w:pPr>
              <w:spacing w:line="320" w:lineRule="exact"/>
              <w:jc w:val="left"/>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指用银精（块）矿、阳极泥（冶炼其他有色金属时回收的阳极泥含银）、废杂银提炼白银的生产活动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3229</w:t>
            </w:r>
          </w:p>
        </w:tc>
        <w:tc>
          <w:tcPr>
            <w:tcW w:w="1145" w:type="dxa"/>
            <w:tcBorders>
              <w:tl2br w:val="nil"/>
              <w:tr2bl w:val="nil"/>
            </w:tcBorders>
            <w:noWrap w:val="0"/>
            <w:vAlign w:val="top"/>
          </w:tcPr>
          <w:p>
            <w:pPr>
              <w:spacing w:line="320" w:lineRule="exact"/>
              <w:jc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其他贵金属冶炼</w:t>
            </w:r>
          </w:p>
        </w:tc>
        <w:tc>
          <w:tcPr>
            <w:tcW w:w="5184" w:type="dxa"/>
            <w:tcBorders>
              <w:tl2br w:val="nil"/>
              <w:tr2bl w:val="nil"/>
            </w:tcBorders>
            <w:noWrap w:val="0"/>
            <w:vAlign w:val="center"/>
          </w:tcPr>
          <w:p>
            <w:pPr>
              <w:spacing w:line="320" w:lineRule="exact"/>
              <w:jc w:val="left"/>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指铂族元素（铂、铱、锇、钌、钯、铑）等其他贵金属矿采选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3251</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铜压延加工</w:t>
            </w:r>
          </w:p>
        </w:tc>
        <w:tc>
          <w:tcPr>
            <w:tcW w:w="5184" w:type="dxa"/>
            <w:tcBorders>
              <w:tl2br w:val="nil"/>
              <w:tr2bl w:val="nil"/>
            </w:tcBorders>
            <w:noWrap w:val="0"/>
            <w:vAlign w:val="center"/>
          </w:tcPr>
          <w:p>
            <w:pPr>
              <w:spacing w:line="320" w:lineRule="exact"/>
              <w:jc w:val="left"/>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指铜及铜合金的压延加工生产活动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3252</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铝压延加工</w:t>
            </w:r>
          </w:p>
        </w:tc>
        <w:tc>
          <w:tcPr>
            <w:tcW w:w="5184" w:type="dxa"/>
            <w:tcBorders>
              <w:tl2br w:val="nil"/>
              <w:tr2bl w:val="nil"/>
            </w:tcBorders>
            <w:noWrap w:val="0"/>
            <w:vAlign w:val="center"/>
          </w:tcPr>
          <w:p>
            <w:pPr>
              <w:spacing w:line="320" w:lineRule="exact"/>
              <w:jc w:val="left"/>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指铝及铝合金的压延加工生产活动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3253</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贵金属压延加工</w:t>
            </w:r>
          </w:p>
        </w:tc>
        <w:tc>
          <w:tcPr>
            <w:tcW w:w="5184" w:type="dxa"/>
            <w:tcBorders>
              <w:tl2br w:val="nil"/>
              <w:tr2bl w:val="nil"/>
            </w:tcBorders>
            <w:noWrap w:val="0"/>
            <w:vAlign w:val="center"/>
          </w:tcPr>
          <w:p>
            <w:pPr>
              <w:spacing w:line="320" w:lineRule="exact"/>
              <w:jc w:val="left"/>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指对金、银及铂族等贵金属，进行轧制、拉制或挤压加工的生产活动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3254</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稀有稀土金属压延加工</w:t>
            </w:r>
          </w:p>
        </w:tc>
        <w:tc>
          <w:tcPr>
            <w:tcW w:w="5184" w:type="dxa"/>
            <w:tcBorders>
              <w:tl2br w:val="nil"/>
              <w:tr2bl w:val="nil"/>
            </w:tcBorders>
            <w:noWrap w:val="0"/>
            <w:vAlign w:val="center"/>
          </w:tcPr>
          <w:p>
            <w:pPr>
              <w:spacing w:line="320" w:lineRule="exact"/>
              <w:jc w:val="left"/>
              <w:rPr>
                <w:rFonts w:hint="default"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指对钨、钼、钽等稀有金属材的加工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3259</w:t>
            </w:r>
          </w:p>
        </w:tc>
        <w:tc>
          <w:tcPr>
            <w:tcW w:w="1145" w:type="dxa"/>
            <w:tcBorders>
              <w:tl2br w:val="nil"/>
              <w:tr2bl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其他有色金属压延加工</w:t>
            </w:r>
          </w:p>
        </w:tc>
        <w:tc>
          <w:tcPr>
            <w:tcW w:w="5184" w:type="dxa"/>
            <w:tcBorders>
              <w:tl2br w:val="nil"/>
              <w:tr2bl w:val="nil"/>
            </w:tcBorders>
            <w:noWrap w:val="0"/>
            <w:vAlign w:val="center"/>
          </w:tcPr>
          <w:p>
            <w:pPr>
              <w:spacing w:line="320" w:lineRule="exact"/>
              <w:jc w:val="left"/>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default" w:ascii="Times New Roman" w:hAnsi="Times New Roman" w:eastAsia="宋体" w:cs="Times New Roman"/>
                <w:color w:val="auto"/>
                <w:kern w:val="0"/>
                <w:sz w:val="20"/>
                <w:szCs w:val="20"/>
                <w:highlight w:val="none"/>
              </w:rPr>
              <w:t>其他有色金属压延加工</w:t>
            </w:r>
            <w:r>
              <w:rPr>
                <w:rFonts w:hint="eastAsia" w:ascii="Times New Roman" w:hAnsi="Times New Roman" w:cs="Times New Roman"/>
                <w:color w:val="auto"/>
                <w:kern w:val="0"/>
                <w:sz w:val="20"/>
                <w:szCs w:val="20"/>
                <w:highlight w:val="none"/>
                <w:lang w:eastAsia="zh-CN"/>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r>
              <w:rPr>
                <w:rFonts w:hint="eastAsia" w:eastAsia="华文宋体" w:cs="Times New Roman"/>
                <w:color w:val="auto"/>
                <w:sz w:val="18"/>
                <w:szCs w:val="18"/>
                <w:highlight w:val="none"/>
                <w:lang w:val="en-US" w:eastAsia="zh-CN"/>
              </w:rPr>
              <w:t>31</w:t>
            </w:r>
            <w:r>
              <w:rPr>
                <w:rFonts w:hint="default" w:ascii="Times New Roman" w:hAnsi="Times New Roman" w:eastAsia="华文宋体" w:cs="Times New Roman"/>
                <w:color w:val="auto"/>
                <w:sz w:val="18"/>
                <w:szCs w:val="18"/>
                <w:highlight w:val="none"/>
                <w:lang w:val="en-US" w:eastAsia="zh-CN"/>
              </w:rPr>
              <w:t>、</w:t>
            </w:r>
            <w:r>
              <w:rPr>
                <w:rFonts w:hint="default" w:ascii="Times New Roman" w:hAnsi="Times New Roman" w:eastAsia="华文宋体" w:cs="Times New Roman"/>
                <w:color w:val="auto"/>
                <w:sz w:val="18"/>
                <w:szCs w:val="18"/>
                <w:highlight w:val="none"/>
              </w:rPr>
              <w:t>橡胶制品业</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2911</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轮胎制造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轮胎制造</w:t>
            </w:r>
            <w:r>
              <w:rPr>
                <w:rFonts w:hint="eastAsia" w:ascii="Times New Roman" w:hAnsi="Times New Roman" w:cs="Times New Roman"/>
                <w:color w:val="auto"/>
                <w:kern w:val="0"/>
                <w:sz w:val="20"/>
                <w:szCs w:val="20"/>
                <w:highlight w:val="none"/>
                <w:lang w:eastAsia="zh-CN"/>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2912</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bidi="ar"/>
              </w:rPr>
              <w:t>橡胶板、管、带制造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用未硫化的、硫化的或硬质橡胶生产橡胶板状、片状、管状、带状、棒状和异型橡胶制品的活动，以及以橡胶为主要成分，用橡胶灌注、涂层、覆盖或层叠的纺织物、纱绳、钢丝（钢缆）等制作的传动带或输送带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tabs>
                <w:tab w:val="left" w:pos="420"/>
              </w:tabs>
              <w:spacing w:line="240" w:lineRule="auto"/>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2913</w:t>
            </w:r>
          </w:p>
        </w:tc>
        <w:tc>
          <w:tcPr>
            <w:tcW w:w="1145" w:type="dxa"/>
            <w:tcBorders>
              <w:tl2br w:val="nil"/>
              <w:tr2bl w:val="nil"/>
            </w:tcBorders>
            <w:noWrap w:val="0"/>
            <w:vAlign w:val="top"/>
          </w:tcPr>
          <w:p>
            <w:pPr>
              <w:widowControl/>
              <w:spacing w:line="240" w:lineRule="auto"/>
              <w:jc w:val="left"/>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bidi="ar"/>
              </w:rPr>
              <w:t>橡胶零件制造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指各种用途的橡胶异形制品、橡胶零配件制品的生产活动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tabs>
                <w:tab w:val="left" w:pos="420"/>
              </w:tabs>
              <w:spacing w:line="240" w:lineRule="auto"/>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2914</w:t>
            </w:r>
          </w:p>
        </w:tc>
        <w:tc>
          <w:tcPr>
            <w:tcW w:w="1145" w:type="dxa"/>
            <w:tcBorders>
              <w:tl2br w:val="nil"/>
              <w:tr2bl w:val="nil"/>
            </w:tcBorders>
            <w:noWrap w:val="0"/>
            <w:vAlign w:val="top"/>
          </w:tcPr>
          <w:p>
            <w:pPr>
              <w:widowControl/>
              <w:spacing w:line="240" w:lineRule="auto"/>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再生橡胶制造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指用废橡胶生产再生橡胶的活动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tabs>
                <w:tab w:val="left" w:pos="420"/>
              </w:tabs>
              <w:spacing w:line="240" w:lineRule="auto"/>
              <w:jc w:val="center"/>
              <w:textAlignment w:val="center"/>
              <w:rPr>
                <w:rFonts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2915</w:t>
            </w:r>
          </w:p>
        </w:tc>
        <w:tc>
          <w:tcPr>
            <w:tcW w:w="1145" w:type="dxa"/>
            <w:tcBorders>
              <w:tl2br w:val="nil"/>
              <w:tr2bl w:val="nil"/>
            </w:tcBorders>
            <w:noWrap w:val="0"/>
            <w:vAlign w:val="top"/>
          </w:tcPr>
          <w:p>
            <w:pPr>
              <w:widowControl/>
              <w:spacing w:line="240" w:lineRule="auto"/>
              <w:jc w:val="left"/>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bidi="ar"/>
              </w:rPr>
              <w:t>日用及医用橡胶制品制造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日用及医用橡胶制品制造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val="en-US" w:eastAsia="zh-CN"/>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2919</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其他橡胶品制造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部分定形密封材料</w:t>
            </w:r>
            <w:r>
              <w:rPr>
                <w:rFonts w:hint="eastAsia" w:ascii="Times New Roman" w:hAnsi="Times New Roman" w:cs="Times New Roman"/>
                <w:color w:val="auto"/>
                <w:kern w:val="0"/>
                <w:sz w:val="20"/>
                <w:szCs w:val="20"/>
                <w:highlight w:val="none"/>
                <w:lang w:eastAsia="zh-CN"/>
              </w:rPr>
              <w:t>等其他橡胶品制造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r>
              <w:rPr>
                <w:rFonts w:hint="eastAsia" w:cs="Times New Roman"/>
                <w:color w:val="auto"/>
                <w:kern w:val="0"/>
                <w:sz w:val="20"/>
                <w:szCs w:val="20"/>
                <w:highlight w:val="none"/>
                <w:lang w:val="en-US" w:eastAsia="zh-CN"/>
              </w:rPr>
              <w:t>32</w:t>
            </w:r>
            <w:r>
              <w:rPr>
                <w:rFonts w:hint="eastAsia" w:ascii="Times New Roman" w:hAnsi="Times New Roman" w:eastAsia="宋体" w:cs="Times New Roman"/>
                <w:color w:val="auto"/>
                <w:kern w:val="0"/>
                <w:sz w:val="20"/>
                <w:szCs w:val="20"/>
                <w:highlight w:val="none"/>
              </w:rPr>
              <w:t>、汽车制造</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3611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汽柴油车整车制造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指由传统燃料动力装置驱动，具有四个以上车轮的非轨道、无架线的车辆，并主要用于载送人员和（或）货物、牵引输送人员和（或）货物的车辆制造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rPr>
              <w:t>3620</w:t>
            </w:r>
          </w:p>
        </w:tc>
        <w:tc>
          <w:tcPr>
            <w:tcW w:w="1145" w:type="dxa"/>
            <w:tcBorders>
              <w:tl2br w:val="nil"/>
              <w:tr2bl w:val="nil"/>
            </w:tcBorders>
            <w:noWrap w:val="0"/>
            <w:vAlign w:val="center"/>
          </w:tcPr>
          <w:p>
            <w:pPr>
              <w:widowControl/>
              <w:jc w:val="left"/>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汽车用发动机制造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0"/>
                <w:szCs w:val="20"/>
                <w:highlight w:val="none"/>
              </w:rPr>
              <w:t>汽车用发动机；新能源汽车用发动机；专用发动机电控单元；汽车用发动机</w:t>
            </w:r>
            <w:r>
              <w:rPr>
                <w:rFonts w:hint="eastAsia" w:ascii="Times New Roman" w:hAnsi="Times New Roman" w:cs="Times New Roman"/>
                <w:color w:val="auto"/>
                <w:kern w:val="0"/>
                <w:sz w:val="20"/>
                <w:szCs w:val="20"/>
                <w:highlight w:val="none"/>
                <w:lang w:eastAsia="zh-CN"/>
              </w:rPr>
              <w:t>零部</w:t>
            </w:r>
            <w:r>
              <w:rPr>
                <w:rFonts w:hint="default" w:ascii="Times New Roman" w:hAnsi="Times New Roman" w:eastAsia="宋体" w:cs="Times New Roman"/>
                <w:color w:val="auto"/>
                <w:kern w:val="0"/>
                <w:sz w:val="20"/>
                <w:szCs w:val="20"/>
                <w:highlight w:val="none"/>
              </w:rPr>
              <w:t>件；其他汽车用发动机（整车制造、核心零部件）。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3630</w:t>
            </w:r>
          </w:p>
        </w:tc>
        <w:tc>
          <w:tcPr>
            <w:tcW w:w="1145" w:type="dxa"/>
            <w:tcBorders>
              <w:tl2br w:val="nil"/>
              <w:tr2bl w:val="nil"/>
            </w:tcBorders>
            <w:noWrap w:val="0"/>
            <w:vAlign w:val="center"/>
          </w:tcPr>
          <w:p>
            <w:pPr>
              <w:widowControl/>
              <w:jc w:val="left"/>
              <w:textAlignment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color w:val="auto"/>
                <w:kern w:val="0"/>
                <w:sz w:val="20"/>
                <w:szCs w:val="20"/>
                <w:highlight w:val="none"/>
                <w:lang w:eastAsia="zh-CN"/>
              </w:rPr>
              <w:t>改装汽车制造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rPr>
              <w:t>指利用外购汽车底盘改装各类汽车的制造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3670</w:t>
            </w:r>
          </w:p>
        </w:tc>
        <w:tc>
          <w:tcPr>
            <w:tcW w:w="1145" w:type="dxa"/>
            <w:tcBorders>
              <w:tl2br w:val="nil"/>
              <w:tr2bl w:val="nil"/>
            </w:tcBorders>
            <w:noWrap w:val="0"/>
            <w:vAlign w:val="center"/>
          </w:tcPr>
          <w:p>
            <w:pPr>
              <w:widowControl/>
              <w:jc w:val="left"/>
              <w:textAlignment w:val="center"/>
              <w:rPr>
                <w:rFonts w:hint="default" w:ascii="Times New Roman" w:hAnsi="Times New Roman" w:cs="Times New Roman"/>
                <w:color w:val="auto"/>
                <w:kern w:val="0"/>
                <w:sz w:val="20"/>
                <w:szCs w:val="20"/>
                <w:highlight w:val="none"/>
                <w:lang w:eastAsia="zh-CN"/>
              </w:rPr>
            </w:pPr>
            <w:r>
              <w:rPr>
                <w:rFonts w:hint="eastAsia" w:cs="Times New Roman"/>
                <w:color w:val="auto"/>
                <w:kern w:val="0"/>
                <w:sz w:val="20"/>
                <w:szCs w:val="20"/>
                <w:highlight w:val="none"/>
                <w:lang w:eastAsia="zh-CN"/>
              </w:rPr>
              <w:t>汽车零部件及配件制作</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eastAsia="zh-CN"/>
              </w:rPr>
              <w:t>指机动车辆及其车身的各种零部件的制造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3484</w:t>
            </w:r>
          </w:p>
        </w:tc>
        <w:tc>
          <w:tcPr>
            <w:tcW w:w="1145"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i w:val="0"/>
                <w:iCs w:val="0"/>
                <w:color w:val="auto"/>
                <w:kern w:val="0"/>
                <w:sz w:val="20"/>
                <w:szCs w:val="20"/>
                <w:highlight w:val="none"/>
                <w:u w:val="none"/>
                <w:lang w:val="en-US" w:eastAsia="zh-CN" w:bidi="ar"/>
              </w:rPr>
              <w:t>机械零部件加工</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i w:val="0"/>
                <w:iCs w:val="0"/>
                <w:color w:val="auto"/>
                <w:kern w:val="0"/>
                <w:sz w:val="20"/>
                <w:szCs w:val="20"/>
                <w:highlight w:val="none"/>
                <w:u w:val="none"/>
                <w:lang w:val="en-US" w:eastAsia="zh-CN" w:bidi="ar"/>
              </w:rPr>
              <w:t>汽车产业机械零部件加工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80" w:type="dxa"/>
            <w:vMerge w:val="continue"/>
            <w:tcBorders>
              <w:tl2br w:val="nil"/>
              <w:tr2bl w:val="nil"/>
            </w:tcBorders>
            <w:noWrap w:val="0"/>
            <w:vAlign w:val="center"/>
          </w:tcPr>
          <w:p>
            <w:pPr>
              <w:jc w:val="center"/>
              <w:textAlignment w:val="center"/>
              <w:rPr>
                <w:rFonts w:hint="default"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4016</w:t>
            </w:r>
          </w:p>
        </w:tc>
        <w:tc>
          <w:tcPr>
            <w:tcW w:w="1145"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i w:val="0"/>
                <w:iCs w:val="0"/>
                <w:color w:val="auto"/>
                <w:kern w:val="0"/>
                <w:sz w:val="20"/>
                <w:szCs w:val="20"/>
                <w:highlight w:val="none"/>
                <w:u w:val="none"/>
                <w:lang w:val="en-US" w:eastAsia="zh-CN" w:bidi="ar"/>
              </w:rPr>
              <w:t>供应用仪器仪表制造</w:t>
            </w:r>
          </w:p>
        </w:tc>
        <w:tc>
          <w:tcPr>
            <w:tcW w:w="5184" w:type="dxa"/>
            <w:tcBorders>
              <w:tl2br w:val="nil"/>
              <w:tr2bl w:val="nil"/>
            </w:tcBorders>
            <w:noWrap w:val="0"/>
            <w:vAlign w:val="center"/>
          </w:tcPr>
          <w:p>
            <w:pPr>
              <w:keepNext w:val="0"/>
              <w:keepLines w:val="0"/>
              <w:widowControl/>
              <w:suppressLineNumbers w:val="0"/>
              <w:jc w:val="left"/>
              <w:textAlignment w:val="center"/>
              <w:rPr>
                <w:rFonts w:hint="eastAsia" w:ascii="Times New Roman" w:hAnsi="Times New Roman" w:eastAsia="宋体" w:cs="Times New Roman"/>
                <w:color w:val="auto"/>
                <w:kern w:val="0"/>
                <w:sz w:val="20"/>
                <w:szCs w:val="20"/>
                <w:highlight w:val="none"/>
              </w:rPr>
            </w:pPr>
            <w:r>
              <w:rPr>
                <w:rFonts w:hint="eastAsia" w:ascii="Times New Roman" w:hAnsi="Times New Roman" w:eastAsia="宋体" w:cs="Times New Roman"/>
                <w:i w:val="0"/>
                <w:iCs w:val="0"/>
                <w:color w:val="auto"/>
                <w:kern w:val="0"/>
                <w:sz w:val="20"/>
                <w:szCs w:val="20"/>
                <w:highlight w:val="none"/>
                <w:u w:val="none"/>
                <w:lang w:val="en-US" w:eastAsia="zh-CN" w:bidi="ar"/>
              </w:rPr>
              <w:t>汽车产业中</w:t>
            </w:r>
            <w:r>
              <w:rPr>
                <w:rFonts w:hint="eastAsia" w:ascii="Times New Roman" w:hAnsi="Times New Roman" w:cs="Times New Roman"/>
                <w:i w:val="0"/>
                <w:iCs w:val="0"/>
                <w:color w:val="auto"/>
                <w:kern w:val="0"/>
                <w:sz w:val="20"/>
                <w:szCs w:val="20"/>
                <w:highlight w:val="none"/>
                <w:u w:val="none"/>
                <w:lang w:val="en-US" w:eastAsia="zh-CN" w:bidi="ar"/>
              </w:rPr>
              <w:t>应</w:t>
            </w:r>
            <w:r>
              <w:rPr>
                <w:rFonts w:hint="eastAsia" w:ascii="Times New Roman" w:hAnsi="Times New Roman" w:eastAsia="宋体" w:cs="Times New Roman"/>
                <w:i w:val="0"/>
                <w:iCs w:val="0"/>
                <w:color w:val="auto"/>
                <w:kern w:val="0"/>
                <w:sz w:val="20"/>
                <w:szCs w:val="20"/>
                <w:highlight w:val="none"/>
                <w:u w:val="none"/>
                <w:lang w:val="en-US" w:eastAsia="zh-CN" w:bidi="ar"/>
              </w:rPr>
              <w:t>用仪器仪表制造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r>
              <w:rPr>
                <w:rFonts w:hint="eastAsia" w:eastAsia="宋体" w:cs="Times New Roman"/>
                <w:b w:val="0"/>
                <w:bCs w:val="0"/>
                <w:color w:val="auto"/>
                <w:kern w:val="0"/>
                <w:sz w:val="20"/>
                <w:szCs w:val="20"/>
                <w:highlight w:val="none"/>
                <w:lang w:val="en-US" w:eastAsia="zh-CN"/>
              </w:rPr>
              <w:t>33</w:t>
            </w:r>
            <w:r>
              <w:rPr>
                <w:rFonts w:hint="default" w:ascii="Times New Roman" w:hAnsi="Times New Roman" w:eastAsia="宋体" w:cs="Times New Roman"/>
                <w:b w:val="0"/>
                <w:bCs w:val="0"/>
                <w:color w:val="auto"/>
                <w:kern w:val="0"/>
                <w:sz w:val="20"/>
                <w:szCs w:val="20"/>
                <w:highlight w:val="none"/>
                <w:lang w:val="en-US" w:eastAsia="zh-CN"/>
              </w:rPr>
              <w:t>、</w:t>
            </w:r>
            <w:r>
              <w:rPr>
                <w:rFonts w:hint="default" w:ascii="Times New Roman" w:hAnsi="Times New Roman" w:eastAsia="宋体" w:cs="Times New Roman"/>
                <w:b w:val="0"/>
                <w:bCs w:val="0"/>
                <w:color w:val="auto"/>
                <w:kern w:val="0"/>
                <w:sz w:val="20"/>
                <w:szCs w:val="20"/>
                <w:highlight w:val="none"/>
              </w:rPr>
              <w:t>其他运输设备制造业</w:t>
            </w: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3752</w:t>
            </w:r>
          </w:p>
        </w:tc>
        <w:tc>
          <w:tcPr>
            <w:tcW w:w="114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摩托车零部件及配件制造</w:t>
            </w:r>
          </w:p>
        </w:tc>
        <w:tc>
          <w:tcPr>
            <w:tcW w:w="518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摩托车零部件及配件</w:t>
            </w:r>
            <w:r>
              <w:rPr>
                <w:rFonts w:hint="eastAsia" w:ascii="Times New Roman" w:hAnsi="Times New Roman" w:cs="Times New Roman"/>
                <w:color w:val="auto"/>
                <w:kern w:val="0"/>
                <w:sz w:val="20"/>
                <w:szCs w:val="20"/>
                <w:highlight w:val="none"/>
                <w:lang w:val="en-US" w:eastAsia="zh-CN" w:bidi="ar-SA"/>
              </w:rPr>
              <w:t>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3761*</w:t>
            </w:r>
          </w:p>
        </w:tc>
        <w:tc>
          <w:tcPr>
            <w:tcW w:w="1145" w:type="dxa"/>
            <w:tcBorders>
              <w:tl2br w:val="nil"/>
              <w:tr2bl w:val="nil"/>
            </w:tcBorders>
            <w:noWrap w:val="0"/>
            <w:vAlign w:val="center"/>
          </w:tcPr>
          <w:p>
            <w:pPr>
              <w:widowControl/>
              <w:jc w:val="center"/>
              <w:textAlignment w:val="center"/>
              <w:rPr>
                <w:rFonts w:hint="eastAsia" w:cs="Times New Roman"/>
                <w:color w:val="auto"/>
                <w:kern w:val="0"/>
                <w:sz w:val="20"/>
                <w:szCs w:val="20"/>
                <w:highlight w:val="none"/>
                <w:lang w:eastAsia="zh-CN"/>
              </w:rPr>
            </w:pPr>
            <w:r>
              <w:rPr>
                <w:rFonts w:hint="eastAsia" w:cs="Times New Roman"/>
                <w:color w:val="auto"/>
                <w:kern w:val="0"/>
                <w:sz w:val="20"/>
                <w:szCs w:val="20"/>
                <w:highlight w:val="none"/>
                <w:lang w:eastAsia="zh-CN"/>
              </w:rPr>
              <w:t>自行车制造</w:t>
            </w:r>
          </w:p>
        </w:tc>
        <w:tc>
          <w:tcPr>
            <w:tcW w:w="5184" w:type="dxa"/>
            <w:tcBorders>
              <w:tl2br w:val="nil"/>
              <w:tr2bl w:val="nil"/>
            </w:tcBorders>
            <w:noWrap w:val="0"/>
            <w:vAlign w:val="center"/>
          </w:tcPr>
          <w:p>
            <w:pPr>
              <w:widowControl/>
              <w:textAlignment w:val="center"/>
              <w:rPr>
                <w:rFonts w:hint="eastAsia" w:eastAsia="宋体" w:cs="Times New Roman"/>
                <w:color w:val="auto"/>
                <w:kern w:val="0"/>
                <w:sz w:val="20"/>
                <w:szCs w:val="20"/>
                <w:highlight w:val="none"/>
                <w:lang w:eastAsia="zh-CN"/>
              </w:rPr>
            </w:pPr>
            <w:r>
              <w:rPr>
                <w:rFonts w:ascii="Times New Roman" w:hAnsi="Times New Roman" w:eastAsia="宋体" w:cs="Times New Roman"/>
                <w:i w:val="0"/>
                <w:iCs w:val="0"/>
                <w:caps w:val="0"/>
                <w:color w:val="auto"/>
                <w:spacing w:val="0"/>
                <w:kern w:val="0"/>
                <w:sz w:val="20"/>
                <w:szCs w:val="20"/>
                <w:highlight w:val="none"/>
                <w:u w:val="none"/>
                <w:shd w:val="clear"/>
                <w:lang w:bidi="ar"/>
              </w:rPr>
              <w:t>指采用高端化、智能化、绿色化新工艺及先进技术</w:t>
            </w:r>
            <w:r>
              <w:rPr>
                <w:rFonts w:hint="eastAsia" w:ascii="Times New Roman" w:hAnsi="Times New Roman" w:cs="Times New Roman"/>
                <w:i w:val="0"/>
                <w:iCs w:val="0"/>
                <w:caps w:val="0"/>
                <w:color w:val="auto"/>
                <w:spacing w:val="0"/>
                <w:kern w:val="0"/>
                <w:sz w:val="20"/>
                <w:szCs w:val="20"/>
                <w:highlight w:val="none"/>
                <w:u w:val="none"/>
                <w:shd w:val="clear"/>
                <w:lang w:eastAsia="zh-CN" w:bidi="ar"/>
              </w:rPr>
              <w:t>，</w:t>
            </w:r>
            <w:r>
              <w:rPr>
                <w:rFonts w:hint="eastAsia" w:ascii="Times New Roman" w:hAnsi="Times New Roman" w:cs="Times New Roman"/>
                <w:color w:val="auto"/>
                <w:kern w:val="0"/>
                <w:sz w:val="20"/>
                <w:szCs w:val="20"/>
                <w:highlight w:val="none"/>
                <w:lang w:eastAsia="zh-CN"/>
              </w:rPr>
              <w:t>开展自行车制造活动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hint="default" w:cs="Times New Roman"/>
                <w:color w:val="auto"/>
                <w:kern w:val="0"/>
                <w:sz w:val="20"/>
                <w:szCs w:val="20"/>
                <w:highlight w:val="none"/>
                <w:lang w:val="en-US" w:eastAsia="zh-CN"/>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ascii="Times New Roman" w:hAnsi="Times New Roman" w:eastAsia="宋体" w:cs="Times New Roman"/>
                <w:color w:val="auto"/>
                <w:kern w:val="0"/>
                <w:sz w:val="20"/>
                <w:szCs w:val="20"/>
                <w:highlight w:val="none"/>
              </w:rPr>
              <w:t>3780</w:t>
            </w:r>
          </w:p>
        </w:tc>
        <w:tc>
          <w:tcPr>
            <w:tcW w:w="1145"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非公路休闲车及零配件制造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rPr>
              <w:t>指以运动休闲娱乐为主要功能，包括运动休闲车（不含跑车、山地车和越野车）、一轮、两轮、四轮休闲车、滑板车、草地车、观光车等制造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val="en-US" w:eastAsia="zh-CN"/>
              </w:rPr>
              <w:t>34、</w:t>
            </w:r>
            <w:r>
              <w:rPr>
                <w:rFonts w:hint="eastAsia" w:cs="Times New Roman"/>
                <w:color w:val="auto"/>
                <w:kern w:val="0"/>
                <w:sz w:val="20"/>
                <w:szCs w:val="20"/>
                <w:highlight w:val="none"/>
                <w:lang w:eastAsia="zh-CN"/>
              </w:rPr>
              <w:t>生物基材料制造</w:t>
            </w: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2831</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生物基化学纤维制造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指以生物单体或天然有机高分子为原料生产纤维活动，除天然动植物纤维外，特指生物基再生纤维、生物基合成纤维等。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kern w:val="0"/>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hint="default" w:ascii="Times New Roman" w:hAnsi="Times New Roman" w:eastAsia="宋体" w:cs="Times New Roman"/>
                <w:color w:val="auto"/>
                <w:kern w:val="0"/>
                <w:sz w:val="20"/>
                <w:szCs w:val="20"/>
                <w:highlight w:val="none"/>
                <w:lang w:val="en-US" w:eastAsia="zh-CN"/>
              </w:rPr>
            </w:pPr>
            <w:r>
              <w:rPr>
                <w:rFonts w:hint="eastAsia" w:cs="Times New Roman"/>
                <w:color w:val="auto"/>
                <w:kern w:val="0"/>
                <w:sz w:val="20"/>
                <w:szCs w:val="20"/>
                <w:highlight w:val="none"/>
                <w:lang w:val="en-US" w:eastAsia="zh-CN"/>
              </w:rPr>
              <w:t>2832</w:t>
            </w:r>
          </w:p>
        </w:tc>
        <w:tc>
          <w:tcPr>
            <w:tcW w:w="1145" w:type="dxa"/>
            <w:tcBorders>
              <w:tl2br w:val="nil"/>
              <w:tr2bl w:val="nil"/>
            </w:tcBorders>
            <w:noWrap w:val="0"/>
            <w:vAlign w:val="center"/>
          </w:tcPr>
          <w:p>
            <w:pPr>
              <w:widowControl/>
              <w:jc w:val="center"/>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生物基、淀粉基材料制造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cs="Times New Roman"/>
                <w:color w:val="auto"/>
                <w:kern w:val="0"/>
                <w:sz w:val="20"/>
                <w:szCs w:val="20"/>
                <w:highlight w:val="none"/>
                <w:lang w:eastAsia="zh-CN"/>
              </w:rPr>
              <w:t>指使用可再生生物资源（如玉米、木薯、秸秆）经过糖化、发酵、聚合等步骤制成的聚乳酸等生物基、淀粉基材料的活动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80" w:type="dxa"/>
            <w:vMerge w:val="continue"/>
            <w:tcBorders>
              <w:tl2br w:val="nil"/>
              <w:tr2bl w:val="nil"/>
            </w:tcBorders>
            <w:noWrap w:val="0"/>
            <w:vAlign w:val="center"/>
          </w:tcPr>
          <w:p>
            <w:pPr>
              <w:widowControl/>
              <w:jc w:val="center"/>
              <w:textAlignment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35</w:t>
            </w:r>
            <w:r>
              <w:rPr>
                <w:rFonts w:hint="default" w:ascii="Times New Roman" w:hAnsi="Times New Roman" w:eastAsia="宋体" w:cs="Times New Roman"/>
                <w:color w:val="auto"/>
                <w:kern w:val="0"/>
                <w:sz w:val="20"/>
                <w:szCs w:val="20"/>
                <w:highlight w:val="none"/>
              </w:rPr>
              <w:t>、发动机和电机制造</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3812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电动机制造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指交流或直流电动机及零件的制造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3813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微特电机及组件制造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指微型特种电机、减速器及零组件的制造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3819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其他电机制造</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eastAsia="宋体" w:cs="Times New Roman"/>
                <w:color w:val="auto"/>
                <w:kern w:val="0"/>
                <w:sz w:val="20"/>
                <w:szCs w:val="20"/>
                <w:highlight w:val="none"/>
              </w:rPr>
              <w:t>电力测功电机等其他未列明电机</w:t>
            </w:r>
            <w:r>
              <w:rPr>
                <w:rFonts w:hint="eastAsia" w:ascii="Times New Roman" w:hAnsi="Times New Roman" w:cs="Times New Roman"/>
                <w:color w:val="auto"/>
                <w:kern w:val="0"/>
                <w:sz w:val="20"/>
                <w:szCs w:val="20"/>
                <w:highlight w:val="none"/>
                <w:lang w:eastAsia="zh-CN"/>
              </w:rPr>
              <w:t>制造活动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jc w:val="center"/>
              <w:rPr>
                <w:rFonts w:hint="default" w:cs="Times New Roman"/>
                <w:color w:val="auto"/>
                <w:sz w:val="20"/>
                <w:szCs w:val="20"/>
                <w:highlight w:val="none"/>
                <w:lang w:val="en-US" w:eastAsia="zh-CN"/>
              </w:rPr>
            </w:pPr>
          </w:p>
          <w:p>
            <w:pPr>
              <w:jc w:val="center"/>
              <w:rPr>
                <w:rFonts w:ascii="Times New Roman" w:hAnsi="Times New Roman" w:eastAsia="宋体" w:cs="Times New Roman"/>
                <w:color w:val="auto"/>
                <w:sz w:val="20"/>
                <w:szCs w:val="20"/>
                <w:highlight w:val="none"/>
              </w:rPr>
            </w:pPr>
            <w:r>
              <w:rPr>
                <w:rFonts w:hint="eastAsia" w:cs="Times New Roman"/>
                <w:color w:val="auto"/>
                <w:sz w:val="20"/>
                <w:szCs w:val="20"/>
                <w:highlight w:val="none"/>
                <w:lang w:val="en-US" w:eastAsia="zh-CN"/>
              </w:rPr>
              <w:t>36</w:t>
            </w:r>
            <w:r>
              <w:rPr>
                <w:rFonts w:hint="eastAsia" w:ascii="Times New Roman" w:hAnsi="Times New Roman" w:eastAsia="宋体" w:cs="Times New Roman"/>
                <w:color w:val="auto"/>
                <w:sz w:val="20"/>
                <w:szCs w:val="20"/>
                <w:highlight w:val="none"/>
              </w:rPr>
              <w:t>、</w:t>
            </w:r>
            <w:r>
              <w:rPr>
                <w:rFonts w:hint="eastAsia" w:cs="Times New Roman"/>
                <w:color w:val="auto"/>
                <w:sz w:val="20"/>
                <w:szCs w:val="20"/>
                <w:highlight w:val="none"/>
                <w:lang w:eastAsia="zh-CN"/>
              </w:rPr>
              <w:t>金属制品、工程</w:t>
            </w:r>
            <w:r>
              <w:rPr>
                <w:rFonts w:hint="eastAsia" w:ascii="Times New Roman" w:hAnsi="Times New Roman" w:eastAsia="宋体" w:cs="Times New Roman"/>
                <w:color w:val="auto"/>
                <w:sz w:val="20"/>
                <w:szCs w:val="20"/>
                <w:highlight w:val="none"/>
              </w:rPr>
              <w:t>设备</w:t>
            </w:r>
            <w:r>
              <w:rPr>
                <w:rFonts w:hint="eastAsia" w:cs="Times New Roman"/>
                <w:color w:val="auto"/>
                <w:sz w:val="20"/>
                <w:szCs w:val="20"/>
                <w:highlight w:val="none"/>
                <w:lang w:eastAsia="zh-CN"/>
              </w:rPr>
              <w:t>等</w:t>
            </w:r>
            <w:r>
              <w:rPr>
                <w:rFonts w:hint="eastAsia" w:ascii="Times New Roman" w:hAnsi="Times New Roman" w:eastAsia="宋体" w:cs="Times New Roman"/>
                <w:color w:val="auto"/>
                <w:sz w:val="20"/>
                <w:szCs w:val="20"/>
                <w:highlight w:val="none"/>
              </w:rPr>
              <w:t>制造</w:t>
            </w:r>
          </w:p>
        </w:tc>
        <w:tc>
          <w:tcPr>
            <w:tcW w:w="1200" w:type="dxa"/>
            <w:tcBorders>
              <w:tl2br w:val="nil"/>
              <w:tr2bl w:val="nil"/>
            </w:tcBorders>
            <w:noWrap w:val="0"/>
            <w:vAlign w:val="center"/>
          </w:tcPr>
          <w:p>
            <w:pPr>
              <w:keepNext w:val="0"/>
              <w:keepLines w:val="0"/>
              <w:widowControl/>
              <w:suppressLineNumbers w:val="0"/>
              <w:jc w:val="center"/>
              <w:textAlignment w:val="auto"/>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2"/>
                <w:sz w:val="21"/>
                <w:szCs w:val="24"/>
                <w:highlight w:val="none"/>
                <w:u w:val="none"/>
                <w:lang w:val="en-US" w:eastAsia="zh-CN" w:bidi="ar"/>
              </w:rPr>
              <w:t>3333</w:t>
            </w:r>
          </w:p>
        </w:tc>
        <w:tc>
          <w:tcPr>
            <w:tcW w:w="1145" w:type="dxa"/>
            <w:tcBorders>
              <w:tl2br w:val="nil"/>
              <w:tr2bl w:val="nil"/>
            </w:tcBorders>
            <w:noWrap w:val="0"/>
            <w:vAlign w:val="center"/>
          </w:tcPr>
          <w:p>
            <w:pPr>
              <w:keepNext w:val="0"/>
              <w:keepLines w:val="0"/>
              <w:widowControl/>
              <w:suppressLineNumbers w:val="0"/>
              <w:jc w:val="left"/>
              <w:textAlignment w:val="center"/>
              <w:rPr>
                <w:rFonts w:hint="eastAsia" w:ascii="Times New Roman" w:hAnsi="Times New Roman" w:eastAsia="宋体" w:cs="Times New Roman"/>
                <w:color w:val="auto"/>
                <w:kern w:val="0"/>
                <w:sz w:val="20"/>
                <w:szCs w:val="20"/>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金属包装</w:t>
            </w:r>
          </w:p>
        </w:tc>
        <w:tc>
          <w:tcPr>
            <w:tcW w:w="5184" w:type="dxa"/>
            <w:tcBorders>
              <w:tl2br w:val="nil"/>
              <w:tr2bl w:val="nil"/>
            </w:tcBorders>
            <w:noWrap w:val="0"/>
            <w:vAlign w:val="center"/>
          </w:tcPr>
          <w:p>
            <w:pPr>
              <w:widowControl/>
              <w:jc w:val="left"/>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lang w:bidi="ar"/>
              </w:rPr>
              <w:t>指主要为商品运输或包装而制作的金属包装容器及附件的制造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olor w:val="auto"/>
                <w:highlight w:val="none"/>
              </w:rPr>
              <w:t>3421</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金属切削机床制造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指用于加工金属的各种切削加工数控机床及普通机床的制造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olor w:val="auto"/>
                <w:highlight w:val="none"/>
              </w:rPr>
              <w:t>3422</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金属成形机床制造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指以锻压、锤击和模压方式加工金属的机床，或以弯曲、折叠、矫直、剪切、冲压、开槽、拉丝等方式加工金属的数控机床及普通机床的制造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olor w:val="auto"/>
                <w:highlight w:val="none"/>
              </w:rPr>
              <w:t>3423</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铸造机械制造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指金属铸件（机械零件毛坯件）铸造用专用设备及其专门配套件的制造，普通铸造设备、制芯设备、砂处理设备、清理设备和特种铸造设备等制造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olor w:val="auto"/>
                <w:highlight w:val="none"/>
              </w:rPr>
              <w:t>3424</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金属切割及焊接设备制造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指将电能及其他形式的能量转换为切割、焊接能量对金属进行切割、焊接设备的制造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olor w:val="auto"/>
                <w:highlight w:val="none"/>
              </w:rPr>
              <w:t>3425</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机床功能部件及附件制造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bidi="ar"/>
              </w:rPr>
              <w:t>指实现机床核心功能的零件和部件的制造，以及扩大机床加工性能和使用范围的附属装置的制造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highlight w:val="none"/>
              </w:rPr>
              <w:t>3429</w:t>
            </w:r>
          </w:p>
        </w:tc>
        <w:tc>
          <w:tcPr>
            <w:tcW w:w="1145" w:type="dxa"/>
            <w:tcBorders>
              <w:tl2br w:val="nil"/>
              <w:tr2bl w:val="nil"/>
            </w:tcBorders>
            <w:noWrap w:val="0"/>
            <w:vAlign w:val="top"/>
          </w:tcPr>
          <w:p>
            <w:pPr>
              <w:widowControl/>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bidi="ar"/>
              </w:rPr>
              <w:t>其他金属加工机械制造</w:t>
            </w:r>
          </w:p>
        </w:tc>
        <w:tc>
          <w:tcPr>
            <w:tcW w:w="5184" w:type="dxa"/>
            <w:tcBorders>
              <w:tl2br w:val="nil"/>
              <w:tr2bl w:val="nil"/>
            </w:tcBorders>
            <w:noWrap w:val="0"/>
            <w:vAlign w:val="top"/>
          </w:tcPr>
          <w:p>
            <w:pPr>
              <w:widowControl/>
              <w:jc w:val="left"/>
              <w:textAlignment w:val="center"/>
              <w:rPr>
                <w:rFonts w:hint="default" w:ascii="Times New Roman" w:hAnsi="Times New Roman" w:eastAsia="宋体" w:cs="Times New Roman"/>
                <w:color w:val="auto"/>
                <w:kern w:val="0"/>
                <w:sz w:val="20"/>
                <w:szCs w:val="20"/>
                <w:highlight w:val="none"/>
                <w:lang w:bidi="ar"/>
              </w:rPr>
            </w:pPr>
          </w:p>
          <w:p>
            <w:pPr>
              <w:widowControl/>
              <w:jc w:val="left"/>
              <w:textAlignment w:val="center"/>
              <w:rPr>
                <w:rFonts w:hint="eastAsia" w:ascii="Times New Roman" w:hAnsi="Times New Roman" w:eastAsia="宋体" w:cs="Times New Roman"/>
                <w:color w:val="auto"/>
                <w:kern w:val="0"/>
                <w:sz w:val="20"/>
                <w:szCs w:val="20"/>
                <w:highlight w:val="none"/>
                <w:lang w:eastAsia="zh-CN" w:bidi="ar"/>
              </w:rPr>
            </w:pPr>
            <w:r>
              <w:rPr>
                <w:rFonts w:hint="eastAsia" w:ascii="Times New Roman" w:hAnsi="Times New Roman" w:cs="Times New Roman"/>
                <w:color w:val="auto"/>
                <w:kern w:val="0"/>
                <w:sz w:val="20"/>
                <w:szCs w:val="20"/>
                <w:highlight w:val="none"/>
                <w:lang w:eastAsia="zh-CN" w:bidi="ar"/>
              </w:rPr>
              <w:t>指</w:t>
            </w:r>
            <w:r>
              <w:rPr>
                <w:rFonts w:hint="default" w:ascii="Times New Roman" w:hAnsi="Times New Roman" w:eastAsia="宋体" w:cs="Times New Roman"/>
                <w:color w:val="auto"/>
                <w:kern w:val="0"/>
                <w:sz w:val="20"/>
                <w:szCs w:val="20"/>
                <w:highlight w:val="none"/>
                <w:lang w:bidi="ar"/>
              </w:rPr>
              <w:t>其他金属加工机械制造</w:t>
            </w:r>
            <w:r>
              <w:rPr>
                <w:rFonts w:hint="eastAsia" w:ascii="Times New Roman" w:hAnsi="Times New Roman" w:cs="Times New Roman"/>
                <w:color w:val="auto"/>
                <w:kern w:val="0"/>
                <w:sz w:val="20"/>
                <w:szCs w:val="20"/>
                <w:highlight w:val="none"/>
                <w:lang w:eastAsia="zh-CN" w:bidi="ar"/>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3463*</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气体、液体分离及纯净设备制造</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bidi="ar"/>
              </w:rPr>
              <w:t>指对气体进行杂质的去除，提高气体的纯度的气体净化设备制造；仅对气、液混合物进行分离，不改变气体、液体性质的气、液分离设备制造；对各种混合气体进行分离及液化的气体分离成套设备制造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3511</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矿山机械制造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val="en-US" w:eastAsia="zh-CN" w:bidi="ar"/>
              </w:rPr>
              <w:t>指用于各种固体矿物及石料的开采和洗选的机械设备及其专门配套设备的制造；包括建井设备，采掘、凿岩设备，矿山提升设备，矿物破碎、粉磨设备，矿物筛分、洗选设备，矿用牵引车及矿车等产品及其专用配套件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3512</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石油钻采专用设备制造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val="en-US" w:eastAsia="zh-CN" w:bidi="ar"/>
              </w:rPr>
              <w:t>指对陆地和近海石油、天然气等专用开采设备的制造；不包括深海石油、天然气勘探开采平台及相关漂浮设备的制造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3514</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建筑工程用机械制造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val="en-US" w:eastAsia="zh-CN" w:bidi="ar"/>
              </w:rPr>
              <w:t>指建筑施工及市政公共工程用机械的制造，包括土方机械、筑路机械、具有回转、变幅功能的工程起重机、建筑起重机等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3515</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建筑材料生产专用机械制造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val="en-US" w:eastAsia="zh-CN" w:bidi="ar"/>
              </w:rPr>
              <w:t>指生产水泥、水泥制品、玻璃及玻璃纤维、建筑陶瓷、砖瓦等建筑材料所使用的各种生产、搅拌成型机械的制造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i w:val="0"/>
                <w:iCs w:val="0"/>
                <w:color w:val="auto"/>
                <w:kern w:val="2"/>
                <w:sz w:val="21"/>
                <w:szCs w:val="24"/>
                <w:highlight w:val="none"/>
                <w:u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3516</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冶金专用设备制造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color w:val="auto"/>
                <w:kern w:val="0"/>
                <w:sz w:val="20"/>
                <w:szCs w:val="20"/>
                <w:highlight w:val="none"/>
                <w:lang w:val="en-US" w:eastAsia="zh-CN" w:bidi="ar"/>
              </w:rPr>
              <w:t>指金属冶炼、锭坯铸造、轧制及其专用配套设备等生产专用设备的制造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color w:val="auto"/>
                <w:kern w:val="2"/>
                <w:sz w:val="21"/>
                <w:szCs w:val="24"/>
                <w:highlight w:val="none"/>
                <w:lang w:val="en-US" w:eastAsia="zh-CN" w:bidi="ar"/>
              </w:rPr>
            </w:pPr>
            <w:r>
              <w:rPr>
                <w:rFonts w:hint="default" w:ascii="Times New Roman" w:hAnsi="Times New Roman" w:eastAsia="宋体" w:cs="Times New Roman"/>
                <w:color w:val="auto"/>
                <w:kern w:val="2"/>
                <w:sz w:val="21"/>
                <w:szCs w:val="24"/>
                <w:highlight w:val="none"/>
                <w:lang w:val="en-US" w:eastAsia="zh-CN" w:bidi="ar"/>
              </w:rPr>
              <w:t>3517</w:t>
            </w:r>
          </w:p>
        </w:tc>
        <w:tc>
          <w:tcPr>
            <w:tcW w:w="1145"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隧道施工专用机械制造</w:t>
            </w:r>
          </w:p>
        </w:tc>
        <w:tc>
          <w:tcPr>
            <w:tcW w:w="5184" w:type="dxa"/>
            <w:tcBorders>
              <w:tl2br w:val="nil"/>
              <w:tr2bl w:val="nil"/>
            </w:tcBorders>
            <w:noWrap w:val="0"/>
            <w:vAlign w:val="top"/>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指用于地下非开挖施工专用机械的制造，包括隧道掘进机（盾构机和硬岩掘进机）、顶管机、水平定向钻等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3522</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橡胶加工专用设备制造</w:t>
            </w:r>
          </w:p>
        </w:tc>
        <w:tc>
          <w:tcPr>
            <w:tcW w:w="5184" w:type="dxa"/>
            <w:tcBorders>
              <w:tl2br w:val="nil"/>
              <w:tr2bl w:val="nil"/>
            </w:tcBorders>
            <w:noWrap w:val="0"/>
            <w:vAlign w:val="center"/>
          </w:tcPr>
          <w:p>
            <w:pPr>
              <w:widowControl/>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bidi="ar"/>
              </w:rPr>
              <w:t>指加工橡胶，或以橡胶为材料生产橡胶制品的专用机械制造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3597</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水资源专用机械制造</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lang w:bidi="ar"/>
              </w:rPr>
              <w:t>指水利工程管理、节水工程及水的生产、供应专用设备的制造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4190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其他未列明制造业</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其他未列明制造业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jc w:val="center"/>
              <w:rPr>
                <w:rFonts w:hint="default" w:ascii="Times New Roman" w:hAnsi="Times New Roman" w:eastAsia="宋体" w:cs="Times New Roman"/>
                <w:color w:val="auto"/>
                <w:sz w:val="20"/>
                <w:szCs w:val="20"/>
                <w:highlight w:val="none"/>
                <w:lang w:val="en-US" w:eastAsia="zh-CN"/>
              </w:rPr>
            </w:pPr>
            <w:r>
              <w:rPr>
                <w:rFonts w:hint="eastAsia" w:cs="Times New Roman"/>
                <w:color w:val="auto"/>
                <w:sz w:val="20"/>
                <w:szCs w:val="20"/>
                <w:highlight w:val="none"/>
                <w:lang w:val="en-US" w:eastAsia="zh-CN"/>
              </w:rPr>
              <w:t>37、</w:t>
            </w:r>
            <w:r>
              <w:rPr>
                <w:rFonts w:hint="default" w:cs="Times New Roman"/>
                <w:color w:val="auto"/>
                <w:sz w:val="20"/>
                <w:szCs w:val="20"/>
                <w:highlight w:val="none"/>
                <w:lang w:val="en-US" w:eastAsia="zh-CN"/>
              </w:rPr>
              <w:t>维修及再制造</w:t>
            </w: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cs="Times New Roman"/>
                <w:i w:val="0"/>
                <w:iCs w:val="0"/>
                <w:color w:val="auto"/>
                <w:kern w:val="0"/>
                <w:sz w:val="20"/>
                <w:szCs w:val="20"/>
                <w:highlight w:val="none"/>
                <w:u w:val="none"/>
                <w:lang w:val="en-US" w:eastAsia="zh-CN" w:bidi="ar"/>
              </w:rPr>
              <w:t>4310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cs="Times New Roman"/>
                <w:i w:val="0"/>
                <w:iCs w:val="0"/>
                <w:color w:val="auto"/>
                <w:kern w:val="0"/>
                <w:sz w:val="20"/>
                <w:szCs w:val="20"/>
                <w:highlight w:val="none"/>
                <w:u w:val="none"/>
                <w:lang w:val="en-US" w:eastAsia="zh-CN" w:bidi="ar"/>
              </w:rPr>
              <w:t>金属制品修理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金属集装箱、金属压力及大型容器</w:t>
            </w:r>
            <w:r>
              <w:rPr>
                <w:rFonts w:hint="eastAsia" w:ascii="Times New Roman" w:hAnsi="Times New Roman" w:cs="Times New Roman"/>
                <w:i w:val="0"/>
                <w:iCs w:val="0"/>
                <w:color w:val="auto"/>
                <w:kern w:val="0"/>
                <w:sz w:val="20"/>
                <w:szCs w:val="20"/>
                <w:highlight w:val="none"/>
                <w:u w:val="none"/>
                <w:lang w:val="en-US" w:eastAsia="zh-CN" w:bidi="ar"/>
              </w:rPr>
              <w:t>等金属制品修理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p>
            <w:pPr>
              <w:rPr>
                <w:rFonts w:ascii="Times New Roman" w:hAnsi="Times New Roman" w:eastAsia="宋体" w:cs="Times New Roman"/>
                <w:color w:val="auto"/>
                <w:kern w:val="2"/>
                <w:sz w:val="21"/>
                <w:szCs w:val="24"/>
                <w:highlight w:val="none"/>
                <w:lang w:val="en-US" w:eastAsia="zh-CN" w:bidi="ar-SA"/>
              </w:rPr>
            </w:pPr>
          </w:p>
          <w:p>
            <w:pPr>
              <w:jc w:val="left"/>
              <w:rPr>
                <w:color w:val="auto"/>
                <w:highlight w:val="none"/>
                <w:lang w:val="en-US" w:eastAsia="zh-CN"/>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4320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通用设备修理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锅炉及辅助设备</w:t>
            </w:r>
            <w:r>
              <w:rPr>
                <w:rFonts w:hint="eastAsia" w:ascii="Times New Roman" w:hAnsi="Times New Roman" w:cs="Times New Roman"/>
                <w:i w:val="0"/>
                <w:iCs w:val="0"/>
                <w:color w:val="auto"/>
                <w:kern w:val="0"/>
                <w:sz w:val="20"/>
                <w:szCs w:val="20"/>
                <w:highlight w:val="none"/>
                <w:u w:val="none"/>
                <w:lang w:val="en-US" w:eastAsia="zh-CN" w:bidi="ar"/>
              </w:rPr>
              <w:t>等通用设备修理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4330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专用设备修理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采矿</w:t>
            </w:r>
            <w:r>
              <w:rPr>
                <w:rFonts w:hint="eastAsia" w:ascii="Times New Roman" w:hAnsi="Times New Roman" w:cs="Times New Roman"/>
                <w:i w:val="0"/>
                <w:iCs w:val="0"/>
                <w:color w:val="auto"/>
                <w:kern w:val="0"/>
                <w:sz w:val="20"/>
                <w:szCs w:val="20"/>
                <w:highlight w:val="none"/>
                <w:u w:val="none"/>
                <w:lang w:val="en-US" w:eastAsia="zh-CN" w:bidi="ar"/>
              </w:rPr>
              <w:t>、石油开采等专用设备修理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4341</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铁路运输设备修理</w:t>
            </w:r>
          </w:p>
        </w:tc>
        <w:tc>
          <w:tcPr>
            <w:tcW w:w="5184" w:type="dxa"/>
            <w:tcBorders>
              <w:tl2br w:val="nil"/>
              <w:tr2bl w:val="nil"/>
            </w:tcBorders>
            <w:noWrap w:val="0"/>
            <w:vAlign w:val="top"/>
          </w:tcPr>
          <w:p>
            <w:pPr>
              <w:widowControl/>
              <w:spacing w:line="240" w:lineRule="auto"/>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rPr>
              <w:t>不包括火车机车回厂修理和发动机修理活动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4342</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船舶修理</w:t>
            </w:r>
          </w:p>
        </w:tc>
        <w:tc>
          <w:tcPr>
            <w:tcW w:w="5184" w:type="dxa"/>
            <w:tcBorders>
              <w:tl2br w:val="nil"/>
              <w:tr2bl w:val="nil"/>
            </w:tcBorders>
            <w:noWrap w:val="0"/>
            <w:vAlign w:val="top"/>
          </w:tcPr>
          <w:p>
            <w:pPr>
              <w:widowControl/>
              <w:spacing w:line="240" w:lineRule="auto"/>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color w:val="auto"/>
                <w:kern w:val="0"/>
                <w:sz w:val="20"/>
                <w:szCs w:val="20"/>
                <w:highlight w:val="none"/>
              </w:rPr>
              <w:t>不包括船舶回厂修复、发动机修理以及船舶拆除活动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4349</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其他设备修理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其他运输设备修理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4350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电气设备修理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发电机</w:t>
            </w:r>
            <w:r>
              <w:rPr>
                <w:rFonts w:hint="eastAsia" w:ascii="Times New Roman" w:hAnsi="Times New Roman" w:cs="Times New Roman"/>
                <w:i w:val="0"/>
                <w:iCs w:val="0"/>
                <w:color w:val="auto"/>
                <w:kern w:val="0"/>
                <w:sz w:val="20"/>
                <w:szCs w:val="20"/>
                <w:highlight w:val="none"/>
                <w:u w:val="none"/>
                <w:lang w:val="en-US" w:eastAsia="zh-CN" w:bidi="ar"/>
              </w:rPr>
              <w:t>等电气设备修理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4360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仪器仪表修理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通用仪器仪表、专用仪器仪表及其他仪器仪表专业修理。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4390</w:t>
            </w:r>
          </w:p>
        </w:tc>
        <w:tc>
          <w:tcPr>
            <w:tcW w:w="1145"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color w:val="auto"/>
                <w:kern w:val="0"/>
                <w:sz w:val="20"/>
                <w:szCs w:val="20"/>
                <w:highlight w:val="none"/>
                <w:lang w:val="en-US" w:eastAsia="zh-CN" w:bidi="ar-SA"/>
              </w:rPr>
            </w:pPr>
            <w:r>
              <w:rPr>
                <w:rFonts w:hint="default" w:ascii="Times New Roman" w:hAnsi="Times New Roman" w:eastAsia="宋体" w:cs="Times New Roman"/>
                <w:color w:val="auto"/>
                <w:kern w:val="0"/>
                <w:sz w:val="20"/>
                <w:szCs w:val="20"/>
                <w:highlight w:val="none"/>
                <w:lang w:val="en-US" w:eastAsia="zh-CN" w:bidi="ar-SA"/>
              </w:rPr>
              <w:t>其他机械和设备修理</w:t>
            </w:r>
          </w:p>
        </w:tc>
        <w:tc>
          <w:tcPr>
            <w:tcW w:w="518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cs="Times New Roman"/>
                <w:i w:val="0"/>
                <w:iCs w:val="0"/>
                <w:color w:val="auto"/>
                <w:kern w:val="0"/>
                <w:sz w:val="20"/>
                <w:szCs w:val="20"/>
                <w:highlight w:val="none"/>
                <w:u w:val="none"/>
                <w:lang w:val="en-US" w:eastAsia="zh-CN" w:bidi="ar"/>
              </w:rPr>
              <w:t>指</w:t>
            </w:r>
            <w:r>
              <w:rPr>
                <w:rFonts w:hint="default" w:ascii="Times New Roman" w:hAnsi="Times New Roman" w:eastAsia="宋体" w:cs="Times New Roman"/>
                <w:i w:val="0"/>
                <w:iCs w:val="0"/>
                <w:color w:val="auto"/>
                <w:kern w:val="0"/>
                <w:sz w:val="20"/>
                <w:szCs w:val="20"/>
                <w:highlight w:val="none"/>
                <w:u w:val="none"/>
                <w:lang w:val="en-US" w:eastAsia="zh-CN" w:bidi="ar"/>
              </w:rPr>
              <w:t>其他机械和设备修理业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restart"/>
            <w:tcBorders>
              <w:tl2br w:val="nil"/>
              <w:tr2bl w:val="nil"/>
            </w:tcBorders>
            <w:noWrap w:val="0"/>
            <w:vAlign w:val="center"/>
          </w:tcPr>
          <w:p>
            <w:pPr>
              <w:widowControl/>
              <w:jc w:val="center"/>
              <w:textAlignment w:val="center"/>
              <w:rPr>
                <w:rFonts w:ascii="Times New Roman" w:hAnsi="Times New Roman" w:eastAsia="宋体" w:cs="Times New Roman"/>
                <w:color w:val="auto"/>
                <w:sz w:val="20"/>
                <w:szCs w:val="20"/>
                <w:highlight w:val="none"/>
              </w:rPr>
            </w:pPr>
            <w:r>
              <w:rPr>
                <w:rFonts w:hint="eastAsia" w:cs="Times New Roman"/>
                <w:color w:val="auto"/>
                <w:kern w:val="0"/>
                <w:sz w:val="20"/>
                <w:szCs w:val="20"/>
                <w:highlight w:val="none"/>
                <w:lang w:val="en-US" w:eastAsia="zh-CN"/>
              </w:rPr>
              <w:t>38</w:t>
            </w:r>
            <w:r>
              <w:rPr>
                <w:rFonts w:hint="default" w:ascii="Times New Roman" w:hAnsi="Times New Roman" w:eastAsia="宋体" w:cs="Times New Roman"/>
                <w:color w:val="auto"/>
                <w:kern w:val="0"/>
                <w:sz w:val="20"/>
                <w:szCs w:val="20"/>
                <w:highlight w:val="none"/>
              </w:rPr>
              <w:t>、设计产业</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工程管理服务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指工程项目建设中的项目策划、投资与造价咨询、招标代理、项目管理等服务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工程监理服务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指依照法律、行政法规及有关的技术标准、设计文件和建筑工程承包合同，对承包单位在施工质量、建设工期和建设资金使用等方面，代表建设单位实施监理的服务。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工程勘察活动</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指建筑工程施工前的工程测量、工程地质勘察和咨询等活动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7484</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工程设计活动</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指根据建设工程的要求，对建设工程所需的技术、经济、资源、环境等条件进行综合分析、论证，编制建设工程设计文件的活动。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7485</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规划设计管理</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指对区域和城镇、乡村的规划，以及其他规划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7486</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土地规划服务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指开展土地利用总体规划、专项规划、详细规划的调查评价、编制设计、论证评估、修改、咨询活动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7491</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工业设计服务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指独立于生产企业的工业产品和生产工艺设计。不包括工业产品生产环境设计、产品传播设计、产品设计管理等活动。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7492</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专业设计服务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指除工程设计、软件设计、集成电路设计、工业设计以外的各种专业设计服务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7493</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兽医服务</w:t>
            </w:r>
          </w:p>
        </w:tc>
        <w:tc>
          <w:tcPr>
            <w:tcW w:w="5184"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指除宠物医院以外的各类兽医服务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vMerge w:val="continue"/>
            <w:tcBorders>
              <w:tl2br w:val="nil"/>
              <w:tr2bl w:val="nil"/>
            </w:tcBorders>
            <w:noWrap w:val="0"/>
            <w:vAlign w:val="center"/>
          </w:tcPr>
          <w:p>
            <w:pPr>
              <w:jc w:val="center"/>
              <w:rPr>
                <w:rFonts w:ascii="Times New Roman" w:hAnsi="Times New Roman" w:eastAsia="宋体" w:cs="Times New Roman"/>
                <w:color w:val="auto"/>
                <w:sz w:val="20"/>
                <w:szCs w:val="20"/>
                <w:highlight w:val="none"/>
              </w:rPr>
            </w:pP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ascii="Times New Roman" w:hAnsi="Times New Roman" w:eastAsia="宋体" w:cs="Times New Roman"/>
                <w:color w:val="auto"/>
                <w:kern w:val="0"/>
                <w:sz w:val="20"/>
                <w:szCs w:val="20"/>
                <w:highlight w:val="none"/>
              </w:rPr>
              <w:t>7499</w:t>
            </w:r>
          </w:p>
        </w:tc>
        <w:tc>
          <w:tcPr>
            <w:tcW w:w="1145"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r>
              <w:rPr>
                <w:rFonts w:hint="eastAsia" w:ascii="Times New Roman" w:hAnsi="Times New Roman" w:eastAsia="宋体" w:cs="Times New Roman"/>
                <w:color w:val="auto"/>
                <w:kern w:val="0"/>
                <w:sz w:val="20"/>
                <w:szCs w:val="20"/>
                <w:highlight w:val="none"/>
              </w:rPr>
              <w:t>其他未列明专业技术服务业</w:t>
            </w:r>
          </w:p>
        </w:tc>
        <w:tc>
          <w:tcPr>
            <w:tcW w:w="5184" w:type="dxa"/>
            <w:tcBorders>
              <w:tl2br w:val="nil"/>
              <w:tr2bl w:val="nil"/>
            </w:tcBorders>
            <w:noWrap w:val="0"/>
            <w:vAlign w:val="center"/>
          </w:tcPr>
          <w:p>
            <w:pPr>
              <w:widowControl/>
              <w:textAlignment w:val="center"/>
              <w:rPr>
                <w:rFonts w:hint="eastAsia" w:ascii="Times New Roman" w:hAnsi="Times New Roman" w:eastAsia="宋体" w:cs="Times New Roman"/>
                <w:color w:val="auto"/>
                <w:kern w:val="0"/>
                <w:sz w:val="20"/>
                <w:szCs w:val="20"/>
                <w:highlight w:val="none"/>
                <w:lang w:eastAsia="zh-CN"/>
              </w:rPr>
            </w:pPr>
            <w:r>
              <w:rPr>
                <w:rFonts w:hint="eastAsia" w:ascii="Times New Roman" w:hAnsi="Times New Roman" w:cs="Times New Roman"/>
                <w:color w:val="auto"/>
                <w:kern w:val="0"/>
                <w:sz w:val="20"/>
                <w:szCs w:val="20"/>
                <w:highlight w:val="none"/>
                <w:lang w:eastAsia="zh-CN"/>
              </w:rPr>
              <w:t>指</w:t>
            </w:r>
            <w:r>
              <w:rPr>
                <w:rFonts w:hint="eastAsia" w:ascii="Times New Roman" w:hAnsi="Times New Roman" w:eastAsia="宋体" w:cs="Times New Roman"/>
                <w:color w:val="auto"/>
                <w:kern w:val="0"/>
                <w:sz w:val="20"/>
                <w:szCs w:val="20"/>
                <w:highlight w:val="none"/>
              </w:rPr>
              <w:t>其他未列明专业技术服务业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vMerge w:val="continue"/>
            <w:tcBorders>
              <w:tl2br w:val="nil"/>
              <w:tr2bl w:val="nil"/>
            </w:tcBorders>
            <w:noWrap w:val="0"/>
            <w:vAlign w:val="center"/>
          </w:tcPr>
          <w:p>
            <w:pPr>
              <w:jc w:val="center"/>
              <w:rPr>
                <w:rFonts w:ascii="Times New Roman" w:hAnsi="Times New Roman" w:eastAsia="宋体" w:cs="Times New Roman"/>
                <w:b/>
                <w:bCs/>
                <w:color w:val="auto"/>
                <w:sz w:val="20"/>
                <w:szCs w:val="20"/>
                <w:highlight w:val="none"/>
              </w:rPr>
            </w:pPr>
          </w:p>
        </w:tc>
        <w:tc>
          <w:tcPr>
            <w:tcW w:w="1195" w:type="dxa"/>
            <w:tcBorders>
              <w:tl2br w:val="nil"/>
              <w:tr2bl w:val="nil"/>
            </w:tcBorders>
            <w:noWrap w:val="0"/>
            <w:vAlign w:val="center"/>
          </w:tcPr>
          <w:p>
            <w:pPr>
              <w:jc w:val="center"/>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cs="Times New Roman"/>
                <w:color w:val="auto"/>
                <w:kern w:val="0"/>
                <w:sz w:val="20"/>
                <w:szCs w:val="20"/>
                <w:highlight w:val="none"/>
                <w:lang w:val="en-US" w:eastAsia="zh-CN"/>
              </w:rPr>
              <w:t>39</w:t>
            </w:r>
            <w:r>
              <w:rPr>
                <w:rFonts w:hint="default" w:ascii="Times New Roman" w:hAnsi="Times New Roman" w:eastAsia="宋体" w:cs="Times New Roman"/>
                <w:color w:val="auto"/>
                <w:kern w:val="0"/>
                <w:sz w:val="20"/>
                <w:szCs w:val="20"/>
                <w:highlight w:val="none"/>
              </w:rPr>
              <w:t>、其它</w:t>
            </w:r>
          </w:p>
        </w:tc>
        <w:tc>
          <w:tcPr>
            <w:tcW w:w="1200" w:type="dxa"/>
            <w:tcBorders>
              <w:tl2br w:val="nil"/>
              <w:tr2bl w:val="nil"/>
            </w:tcBorders>
            <w:noWrap w:val="0"/>
            <w:vAlign w:val="center"/>
          </w:tcPr>
          <w:p>
            <w:pPr>
              <w:widowControl/>
              <w:jc w:val="center"/>
              <w:textAlignment w:val="center"/>
              <w:rPr>
                <w:rFonts w:ascii="Times New Roman" w:hAnsi="Times New Roman" w:eastAsia="宋体" w:cs="Times New Roman"/>
                <w:color w:val="auto"/>
                <w:kern w:val="0"/>
                <w:sz w:val="20"/>
                <w:szCs w:val="20"/>
                <w:highlight w:val="none"/>
              </w:rPr>
            </w:pPr>
          </w:p>
        </w:tc>
        <w:tc>
          <w:tcPr>
            <w:tcW w:w="1145" w:type="dxa"/>
            <w:tcBorders>
              <w:tl2br w:val="nil"/>
              <w:tr2bl w:val="nil"/>
            </w:tcBorders>
            <w:noWrap w:val="0"/>
            <w:vAlign w:val="center"/>
          </w:tcPr>
          <w:p>
            <w:pPr>
              <w:widowControl/>
              <w:textAlignment w:val="center"/>
              <w:rPr>
                <w:rFonts w:ascii="Times New Roman" w:hAnsi="Times New Roman" w:eastAsia="宋体" w:cs="Times New Roman"/>
                <w:color w:val="auto"/>
                <w:kern w:val="0"/>
                <w:sz w:val="20"/>
                <w:szCs w:val="20"/>
                <w:highlight w:val="none"/>
              </w:rPr>
            </w:pPr>
            <w:r>
              <w:rPr>
                <w:rFonts w:hint="eastAsia" w:cs="Times New Roman"/>
                <w:color w:val="auto"/>
                <w:kern w:val="0"/>
                <w:sz w:val="20"/>
                <w:szCs w:val="20"/>
                <w:highlight w:val="none"/>
                <w:lang w:eastAsia="zh-CN"/>
              </w:rPr>
              <w:t>其</w:t>
            </w:r>
            <w:r>
              <w:rPr>
                <w:rFonts w:hint="eastAsia" w:ascii="Times New Roman" w:hAnsi="Times New Roman" w:eastAsia="宋体" w:cs="Times New Roman"/>
                <w:color w:val="auto"/>
                <w:kern w:val="0"/>
                <w:sz w:val="20"/>
                <w:szCs w:val="20"/>
                <w:highlight w:val="none"/>
              </w:rPr>
              <w:t>他高新技术产业</w:t>
            </w:r>
          </w:p>
        </w:tc>
        <w:tc>
          <w:tcPr>
            <w:tcW w:w="5184" w:type="dxa"/>
            <w:tcBorders>
              <w:tl2br w:val="nil"/>
              <w:tr2bl w:val="nil"/>
            </w:tcBorders>
            <w:noWrap w:val="0"/>
            <w:vAlign w:val="top"/>
          </w:tcPr>
          <w:p>
            <w:pPr>
              <w:widowControl/>
              <w:spacing w:line="240" w:lineRule="auto"/>
              <w:jc w:val="left"/>
              <w:textAlignment w:val="center"/>
              <w:rPr>
                <w:rFonts w:hint="default" w:ascii="Times New Roman" w:hAnsi="Times New Roman" w:eastAsia="宋体" w:cs="Times New Roman"/>
                <w:color w:val="auto"/>
                <w:kern w:val="0"/>
                <w:sz w:val="20"/>
                <w:szCs w:val="20"/>
                <w:highlight w:val="none"/>
              </w:rPr>
            </w:pPr>
            <w:r>
              <w:rPr>
                <w:rFonts w:hint="default" w:ascii="Times New Roman" w:hAnsi="Times New Roman" w:eastAsia="宋体" w:cs="Times New Roman"/>
                <w:color w:val="auto"/>
                <w:kern w:val="0"/>
                <w:sz w:val="20"/>
                <w:szCs w:val="20"/>
                <w:highlight w:val="none"/>
                <w:lang w:val="en-US" w:eastAsia="zh-CN"/>
              </w:rPr>
              <w:t>1、</w:t>
            </w:r>
            <w:r>
              <w:rPr>
                <w:rFonts w:hint="default" w:ascii="Times New Roman" w:hAnsi="Times New Roman" w:eastAsia="宋体" w:cs="Times New Roman"/>
                <w:color w:val="auto"/>
                <w:kern w:val="0"/>
                <w:sz w:val="20"/>
                <w:szCs w:val="20"/>
                <w:highlight w:val="none"/>
              </w:rPr>
              <w:t>指由省科技厅认定未在上述行业目录但属于</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lang w:eastAsia="zh-CN"/>
              </w:rPr>
              <w:t>四上”</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rPr>
              <w:t>的高新技术企业</w:t>
            </w:r>
          </w:p>
          <w:p>
            <w:pPr>
              <w:widowControl/>
              <w:spacing w:line="240" w:lineRule="auto"/>
              <w:jc w:val="left"/>
              <w:textAlignment w:val="center"/>
              <w:rPr>
                <w:rFonts w:hint="default" w:ascii="Times New Roman" w:hAnsi="Times New Roman" w:eastAsia="宋体" w:cs="Times New Roman"/>
                <w:color w:val="auto"/>
                <w:kern w:val="0"/>
                <w:sz w:val="20"/>
                <w:szCs w:val="20"/>
                <w:highlight w:val="none"/>
              </w:rPr>
            </w:pPr>
          </w:p>
          <w:p>
            <w:pPr>
              <w:widowControl/>
              <w:spacing w:line="240" w:lineRule="auto"/>
              <w:jc w:val="left"/>
              <w:textAlignment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val="en-US" w:eastAsia="zh-CN"/>
              </w:rPr>
              <w:t>2、</w:t>
            </w:r>
            <w:r>
              <w:rPr>
                <w:rFonts w:hint="default" w:ascii="Times New Roman" w:hAnsi="Times New Roman" w:eastAsia="宋体" w:cs="Times New Roman"/>
                <w:color w:val="auto"/>
                <w:kern w:val="0"/>
                <w:sz w:val="20"/>
                <w:szCs w:val="20"/>
                <w:highlight w:val="none"/>
              </w:rPr>
              <w:t>指由省</w:t>
            </w:r>
            <w:r>
              <w:rPr>
                <w:rFonts w:hint="default" w:ascii="Times New Roman" w:hAnsi="Times New Roman" w:eastAsia="宋体" w:cs="Times New Roman"/>
                <w:color w:val="auto"/>
                <w:kern w:val="0"/>
                <w:sz w:val="20"/>
                <w:szCs w:val="20"/>
                <w:highlight w:val="none"/>
                <w:lang w:eastAsia="zh-CN"/>
              </w:rPr>
              <w:t>工信</w:t>
            </w:r>
            <w:r>
              <w:rPr>
                <w:rFonts w:hint="default" w:ascii="Times New Roman" w:hAnsi="Times New Roman" w:eastAsia="宋体" w:cs="Times New Roman"/>
                <w:color w:val="auto"/>
                <w:kern w:val="0"/>
                <w:sz w:val="20"/>
                <w:szCs w:val="20"/>
                <w:highlight w:val="none"/>
              </w:rPr>
              <w:t>厅认定未在上述行业目录但属于</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lang w:eastAsia="zh-CN"/>
              </w:rPr>
              <w:t>四上”</w:t>
            </w:r>
            <w:r>
              <w:rPr>
                <w:rFonts w:hint="eastAsia" w:ascii="Times New Roman" w:hAnsi="Times New Roman" w:cs="Times New Roman"/>
                <w:color w:val="auto"/>
                <w:kern w:val="0"/>
                <w:sz w:val="20"/>
                <w:szCs w:val="20"/>
                <w:highlight w:val="none"/>
                <w:lang w:eastAsia="zh-CN"/>
              </w:rPr>
              <w:t>”</w:t>
            </w:r>
            <w:r>
              <w:rPr>
                <w:rFonts w:hint="default" w:ascii="Times New Roman" w:hAnsi="Times New Roman" w:eastAsia="宋体" w:cs="Times New Roman"/>
                <w:color w:val="auto"/>
                <w:kern w:val="0"/>
                <w:sz w:val="20"/>
                <w:szCs w:val="20"/>
                <w:highlight w:val="none"/>
              </w:rPr>
              <w:t>的</w:t>
            </w:r>
            <w:r>
              <w:rPr>
                <w:rFonts w:hint="default" w:ascii="Times New Roman" w:hAnsi="Times New Roman" w:eastAsia="宋体" w:cs="Times New Roman"/>
                <w:color w:val="auto"/>
                <w:kern w:val="0"/>
                <w:sz w:val="20"/>
                <w:szCs w:val="20"/>
                <w:highlight w:val="none"/>
                <w:lang w:eastAsia="zh-CN"/>
              </w:rPr>
              <w:t>专精特新企业</w:t>
            </w:r>
          </w:p>
          <w:p>
            <w:pPr>
              <w:pStyle w:val="6"/>
              <w:rPr>
                <w:rFonts w:hint="default" w:ascii="Times New Roman" w:eastAsia="华文宋体"/>
                <w:color w:val="auto"/>
                <w:highlight w:val="none"/>
                <w:lang w:val="en-US" w:eastAsia="zh-CN"/>
              </w:rPr>
            </w:pPr>
          </w:p>
        </w:tc>
      </w:tr>
    </w:tbl>
    <w:p>
      <w:pPr>
        <w:rPr>
          <w:color w:val="auto"/>
          <w:highlight w:val="none"/>
        </w:rPr>
      </w:pPr>
    </w:p>
    <w:p>
      <w:pPr>
        <w:rPr>
          <w:color w:val="auto"/>
          <w:highlight w:val="none"/>
        </w:rPr>
      </w:pPr>
    </w:p>
    <w:p>
      <w:pPr>
        <w:tabs>
          <w:tab w:val="right" w:leader="middleDot" w:pos="9421"/>
        </w:tabs>
        <w:snapToGrid w:val="0"/>
        <w:spacing w:before="157" w:beforeLines="50" w:afterLines="0" w:line="480" w:lineRule="exact"/>
        <w:jc w:val="center"/>
        <w:outlineLvl w:val="0"/>
        <w:rPr>
          <w:rFonts w:hint="eastAsia" w:ascii="黑体" w:hAnsi="Times New Roman" w:eastAsia="黑体" w:cs="Times New Roman"/>
          <w:color w:val="auto"/>
          <w:sz w:val="32"/>
          <w:szCs w:val="32"/>
          <w:highlight w:val="none"/>
          <w:lang w:val="en"/>
        </w:rPr>
      </w:pPr>
      <w:r>
        <w:rPr>
          <w:rFonts w:hint="default" w:ascii="黑体" w:eastAsia="黑体" w:cs="Times New Roman"/>
          <w:color w:val="auto"/>
          <w:sz w:val="32"/>
          <w:szCs w:val="32"/>
          <w:highlight w:val="none"/>
          <w:lang w:eastAsia="zh-CN"/>
        </w:rPr>
        <w:br w:type="page"/>
      </w:r>
      <w:bookmarkStart w:id="131" w:name="_Toc12210"/>
      <w:r>
        <w:rPr>
          <w:rFonts w:hint="default" w:ascii="黑体" w:eastAsia="黑体" w:cs="Times New Roman"/>
          <w:color w:val="auto"/>
          <w:sz w:val="32"/>
          <w:szCs w:val="32"/>
          <w:highlight w:val="none"/>
          <w:lang w:eastAsia="zh-CN"/>
        </w:rPr>
        <w:t>六</w:t>
      </w:r>
      <w:r>
        <w:rPr>
          <w:rFonts w:hint="eastAsia" w:ascii="黑体" w:hAnsi="Times New Roman" w:eastAsia="黑体" w:cs="Times New Roman"/>
          <w:color w:val="auto"/>
          <w:sz w:val="32"/>
          <w:szCs w:val="32"/>
          <w:highlight w:val="none"/>
          <w:lang w:eastAsia="zh-CN"/>
        </w:rPr>
        <w:t>、</w:t>
      </w:r>
      <w:r>
        <w:rPr>
          <w:rFonts w:hint="eastAsia" w:ascii="黑体" w:hAnsi="Times New Roman" w:eastAsia="黑体" w:cs="Times New Roman"/>
          <w:color w:val="auto"/>
          <w:sz w:val="32"/>
          <w:szCs w:val="32"/>
          <w:highlight w:val="none"/>
        </w:rPr>
        <w:t>数字经济及其核心产业统计分类（2021）</w:t>
      </w:r>
      <w:bookmarkEnd w:id="131"/>
    </w:p>
    <w:tbl>
      <w:tblPr>
        <w:tblStyle w:val="16"/>
        <w:tblW w:w="0" w:type="auto"/>
        <w:jc w:val="center"/>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39"/>
        <w:gridCol w:w="642"/>
        <w:gridCol w:w="825"/>
        <w:gridCol w:w="1356"/>
        <w:gridCol w:w="3515"/>
        <w:gridCol w:w="1935"/>
      </w:tblGrid>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blHeader/>
          <w:jc w:val="center"/>
        </w:trPr>
        <w:tc>
          <w:tcPr>
            <w:tcW w:w="2006" w:type="dxa"/>
            <w:gridSpan w:val="3"/>
            <w:tcBorders>
              <w:bottom w:val="single" w:color="000000" w:sz="8" w:space="0"/>
            </w:tcBorders>
            <w:noWrap w:val="0"/>
            <w:tcMar>
              <w:top w:w="10" w:type="dxa"/>
              <w:left w:w="10" w:type="dxa"/>
              <w:right w:w="10" w:type="dxa"/>
            </w:tcMar>
            <w:vAlign w:val="center"/>
          </w:tcPr>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代   码</w:t>
            </w:r>
          </w:p>
        </w:tc>
        <w:tc>
          <w:tcPr>
            <w:tcW w:w="1356" w:type="dxa"/>
            <w:vMerge w:val="restart"/>
            <w:noWrap w:val="0"/>
            <w:tcMar>
              <w:top w:w="10" w:type="dxa"/>
              <w:left w:w="10" w:type="dxa"/>
              <w:right w:w="10" w:type="dxa"/>
            </w:tcMar>
            <w:vAlign w:val="center"/>
          </w:tcPr>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名 称</w:t>
            </w:r>
          </w:p>
        </w:tc>
        <w:tc>
          <w:tcPr>
            <w:tcW w:w="3515" w:type="dxa"/>
            <w:vMerge w:val="restart"/>
            <w:noWrap w:val="0"/>
            <w:tcMar>
              <w:top w:w="10" w:type="dxa"/>
              <w:left w:w="10" w:type="dxa"/>
              <w:right w:w="10" w:type="dxa"/>
            </w:tcMar>
            <w:vAlign w:val="center"/>
          </w:tcPr>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说 明</w:t>
            </w:r>
          </w:p>
        </w:tc>
        <w:tc>
          <w:tcPr>
            <w:tcW w:w="1935" w:type="dxa"/>
            <w:vMerge w:val="restart"/>
            <w:noWrap w:val="0"/>
            <w:tcMar>
              <w:top w:w="10" w:type="dxa"/>
              <w:left w:w="10" w:type="dxa"/>
              <w:right w:w="10" w:type="dxa"/>
            </w:tcMar>
            <w:vAlign w:val="center"/>
          </w:tcPr>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国民经济</w:t>
            </w:r>
          </w:p>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行业代码及名称</w:t>
            </w:r>
          </w:p>
          <w:p>
            <w:pPr>
              <w:adjustRightInd w:val="0"/>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（2017）</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blHeader/>
          <w:jc w:val="center"/>
        </w:trPr>
        <w:tc>
          <w:tcPr>
            <w:tcW w:w="539" w:type="dxa"/>
            <w:tcBorders>
              <w:top w:val="single" w:color="000000" w:sz="8" w:space="0"/>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大</w:t>
            </w:r>
          </w:p>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类</w:t>
            </w:r>
          </w:p>
        </w:tc>
        <w:tc>
          <w:tcPr>
            <w:tcW w:w="642" w:type="dxa"/>
            <w:tcBorders>
              <w:top w:val="single" w:color="000000" w:sz="8" w:space="0"/>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中</w:t>
            </w:r>
          </w:p>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类</w:t>
            </w:r>
          </w:p>
        </w:tc>
        <w:tc>
          <w:tcPr>
            <w:tcW w:w="825" w:type="dxa"/>
            <w:tcBorders>
              <w:top w:val="single" w:color="000000" w:sz="8" w:space="0"/>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小</w:t>
            </w:r>
          </w:p>
          <w:p>
            <w:pPr>
              <w:snapToGrid w:val="0"/>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类</w:t>
            </w:r>
          </w:p>
        </w:tc>
        <w:tc>
          <w:tcPr>
            <w:tcW w:w="1356" w:type="dxa"/>
            <w:vMerge w:val="continue"/>
            <w:tcBorders>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p>
        </w:tc>
        <w:tc>
          <w:tcPr>
            <w:tcW w:w="3515" w:type="dxa"/>
            <w:vMerge w:val="continue"/>
            <w:tcBorders>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p>
        </w:tc>
        <w:tc>
          <w:tcPr>
            <w:tcW w:w="1935" w:type="dxa"/>
            <w:vMerge w:val="continue"/>
            <w:tcBorders>
              <w:bottom w:val="single" w:color="000000" w:sz="8" w:space="0"/>
            </w:tcBorders>
            <w:noWrap w:val="0"/>
            <w:tcMar>
              <w:top w:w="10" w:type="dxa"/>
              <w:left w:w="10" w:type="dxa"/>
              <w:right w:w="10" w:type="dxa"/>
            </w:tcMar>
            <w:vAlign w:val="center"/>
          </w:tcPr>
          <w:p>
            <w:pPr>
              <w:snapToGrid w:val="0"/>
              <w:spacing w:line="320" w:lineRule="exact"/>
              <w:jc w:val="center"/>
              <w:rPr>
                <w:rFonts w:ascii="宋体" w:hAnsi="宋体" w:cs="宋体"/>
                <w:b/>
                <w:bCs/>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汉仪叶叶相思体简" w:hAnsi="汉仪叶叶相思体简" w:eastAsia="汉仪叶叶相思体简" w:cs="汉仪叶叶相思体简"/>
                <w:b/>
                <w:bCs/>
                <w:color w:val="auto"/>
                <w:szCs w:val="21"/>
                <w:highlight w:val="none"/>
              </w:rPr>
              <w:t>★</w:t>
            </w:r>
            <w:r>
              <w:rPr>
                <w:rStyle w:val="19"/>
                <w:rFonts w:hint="eastAsia" w:ascii="汉仪叶叶相思体简" w:hAnsi="汉仪叶叶相思体简" w:eastAsia="汉仪叶叶相思体简" w:cs="汉仪叶叶相思体简"/>
                <w:b/>
                <w:bCs/>
                <w:color w:val="auto"/>
                <w:szCs w:val="21"/>
                <w:highlight w:val="none"/>
              </w:rPr>
              <w:footnoteReference w:id="0"/>
            </w:r>
            <w:r>
              <w:rPr>
                <w:rFonts w:hint="eastAsia" w:ascii="宋体" w:hAnsi="宋体" w:cs="宋体"/>
                <w:b/>
                <w:bCs/>
                <w:color w:val="auto"/>
                <w:szCs w:val="21"/>
                <w:highlight w:val="none"/>
              </w:rPr>
              <w:t>01</w:t>
            </w: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tcBorders>
              <w:top w:val="nil"/>
            </w:tcBorders>
            <w:noWrap w:val="0"/>
            <w:tcMar>
              <w:top w:w="10" w:type="dxa"/>
              <w:left w:w="10" w:type="dxa"/>
              <w:right w:w="10" w:type="dxa"/>
            </w:tcMar>
            <w:vAlign w:val="top"/>
          </w:tcPr>
          <w:p>
            <w:pPr>
              <w:widowControl/>
              <w:spacing w:line="320" w:lineRule="exact"/>
              <w:ind w:firstLine="422"/>
              <w:jc w:val="center"/>
              <w:rPr>
                <w:rFonts w:ascii="宋体" w:hAnsi="宋体" w:cs="宋体"/>
                <w:b/>
                <w:color w:val="auto"/>
                <w:szCs w:val="21"/>
                <w:highlight w:val="none"/>
              </w:rPr>
            </w:pPr>
          </w:p>
        </w:tc>
        <w:tc>
          <w:tcPr>
            <w:tcW w:w="1356" w:type="dxa"/>
            <w:tcBorders>
              <w:top w:val="nil"/>
            </w:tcBorders>
            <w:noWrap w:val="0"/>
            <w:tcMar>
              <w:top w:w="10" w:type="dxa"/>
              <w:left w:w="10" w:type="dxa"/>
              <w:right w:w="10" w:type="dxa"/>
            </w:tcMar>
            <w:vAlign w:val="top"/>
          </w:tcPr>
          <w:p>
            <w:pPr>
              <w:spacing w:line="320" w:lineRule="exact"/>
              <w:rPr>
                <w:rFonts w:ascii="宋体" w:hAnsi="宋体" w:cs="宋体"/>
                <w:b/>
                <w:color w:val="auto"/>
                <w:szCs w:val="21"/>
                <w:highlight w:val="none"/>
              </w:rPr>
            </w:pPr>
            <w:r>
              <w:rPr>
                <w:rFonts w:hint="eastAsia" w:ascii="宋体" w:hAnsi="宋体" w:cs="宋体"/>
                <w:b/>
                <w:color w:val="auto"/>
                <w:szCs w:val="21"/>
                <w:highlight w:val="none"/>
              </w:rPr>
              <w:t>数字产品制造业</w:t>
            </w:r>
          </w:p>
        </w:tc>
        <w:tc>
          <w:tcPr>
            <w:tcW w:w="3515" w:type="dxa"/>
            <w:tcBorders>
              <w:top w:val="nil"/>
            </w:tcBorders>
            <w:noWrap w:val="0"/>
            <w:tcMar>
              <w:top w:w="10" w:type="dxa"/>
              <w:left w:w="10" w:type="dxa"/>
              <w:right w:w="10" w:type="dxa"/>
            </w:tcMar>
            <w:vAlign w:val="top"/>
          </w:tcPr>
          <w:p>
            <w:pPr>
              <w:widowControl/>
              <w:spacing w:line="320" w:lineRule="exact"/>
              <w:ind w:firstLine="422"/>
              <w:jc w:val="left"/>
              <w:rPr>
                <w:rFonts w:ascii="宋体" w:hAnsi="宋体" w:cs="宋体"/>
                <w:b/>
                <w:color w:val="auto"/>
                <w:szCs w:val="21"/>
                <w:highlight w:val="none"/>
              </w:rPr>
            </w:pPr>
          </w:p>
        </w:tc>
        <w:tc>
          <w:tcPr>
            <w:tcW w:w="1935" w:type="dxa"/>
            <w:tcBorders>
              <w:top w:val="nil"/>
            </w:tcBorders>
            <w:noWrap w:val="0"/>
            <w:tcMar>
              <w:top w:w="10" w:type="dxa"/>
              <w:left w:w="10" w:type="dxa"/>
              <w:right w:w="10" w:type="dxa"/>
            </w:tcMar>
            <w:vAlign w:val="top"/>
          </w:tcPr>
          <w:p>
            <w:pPr>
              <w:widowControl/>
              <w:spacing w:line="320" w:lineRule="exact"/>
              <w:ind w:firstLine="422"/>
              <w:jc w:val="left"/>
              <w:rPr>
                <w:rFonts w:ascii="宋体" w:hAnsi="宋体" w:cs="宋体"/>
                <w:b/>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0101</w:t>
            </w:r>
          </w:p>
        </w:tc>
        <w:tc>
          <w:tcPr>
            <w:tcW w:w="825"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计算机</w:t>
            </w:r>
            <w:r>
              <w:rPr>
                <w:rFonts w:ascii="宋体" w:hAnsi="宋体" w:cs="宋体"/>
                <w:b/>
                <w:bCs/>
                <w:color w:val="auto"/>
                <w:szCs w:val="21"/>
                <w:highlight w:val="none"/>
              </w:rPr>
              <w:t>制造</w:t>
            </w:r>
          </w:p>
        </w:tc>
        <w:tc>
          <w:tcPr>
            <w:tcW w:w="3515" w:type="dxa"/>
            <w:noWrap w:val="0"/>
            <w:tcMar>
              <w:top w:w="10" w:type="dxa"/>
              <w:left w:w="10" w:type="dxa"/>
              <w:right w:w="10" w:type="dxa"/>
            </w:tcMar>
            <w:vAlign w:val="top"/>
          </w:tcPr>
          <w:p>
            <w:pPr>
              <w:spacing w:line="320" w:lineRule="exact"/>
              <w:jc w:val="left"/>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rPr>
            </w:pPr>
            <w:r>
              <w:rPr>
                <w:rFonts w:hint="eastAsia" w:ascii="宋体" w:hAnsi="宋体" w:cs="宋体"/>
                <w:color w:val="auto"/>
                <w:kern w:val="0"/>
                <w:szCs w:val="21"/>
                <w:highlight w:val="none"/>
                <w:lang w:bidi="ar"/>
              </w:rPr>
              <w:t>010101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kern w:val="0"/>
                <w:szCs w:val="21"/>
                <w:highlight w:val="none"/>
                <w:lang w:bidi="ar"/>
              </w:rPr>
              <w:t>计算机整机制造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指将可进行算术或逻辑运算的中央处理器和外围设备集成计算整机的制造，包括硬件与软件集成计算机系统的制造、来件组装计算机的加工</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3911 计算机整机制造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rPr>
            </w:pPr>
            <w:r>
              <w:rPr>
                <w:rFonts w:hint="eastAsia" w:ascii="宋体" w:hAnsi="宋体" w:cs="宋体"/>
                <w:color w:val="auto"/>
                <w:kern w:val="0"/>
                <w:szCs w:val="21"/>
                <w:highlight w:val="none"/>
                <w:lang w:bidi="ar"/>
              </w:rPr>
              <w:t>010102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kern w:val="0"/>
                <w:szCs w:val="21"/>
                <w:highlight w:val="none"/>
                <w:lang w:bidi="ar"/>
              </w:rPr>
              <w:t>计算机零部件制造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指组成电子计算机的内存、板卡、硬盘、电源、机箱、显示器等部件的制造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3912 计算机零部件制造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010103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计算机外围设备制造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指计算机外围设备及附属设备的制造，包括输入设备、输出设备和外存储设备等制造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3913 计算机外围设备制造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010104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工业控制计算机及系统制造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3914 工业控制计算机及系统制造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010105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信息安全设备制造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指用于保护网络和计算机中信息和数据安全的专用设备的制造，包括边界安全、通信安全、身份鉴别与访问控制、数据安全、基础平台、内容安全、评估审计与监控、安全应用设备等制造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3915 信息安全设备制造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010106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其他计算机制造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指计算机应用电子设备（以中央处理器为核心</w:t>
            </w:r>
            <w:r>
              <w:rPr>
                <w:rFonts w:ascii="宋体" w:hAnsi="宋体" w:cs="宋体"/>
                <w:color w:val="auto"/>
                <w:szCs w:val="21"/>
                <w:highlight w:val="none"/>
                <w:lang w:val="en"/>
              </w:rPr>
              <w:t>，</w:t>
            </w:r>
            <w:r>
              <w:rPr>
                <w:rFonts w:hint="eastAsia" w:ascii="宋体" w:hAnsi="宋体" w:cs="宋体"/>
                <w:color w:val="auto"/>
                <w:szCs w:val="21"/>
                <w:highlight w:val="none"/>
              </w:rPr>
              <w:t>配以专业功能模块、外围设备等构成各行业应用领域专用的电子产品及设备</w:t>
            </w:r>
            <w:r>
              <w:rPr>
                <w:rFonts w:ascii="宋体" w:hAnsi="宋体" w:cs="宋体"/>
                <w:color w:val="auto"/>
                <w:szCs w:val="21"/>
                <w:highlight w:val="none"/>
                <w:lang w:val="en"/>
              </w:rPr>
              <w:t>，</w:t>
            </w:r>
            <w:r>
              <w:rPr>
                <w:rFonts w:hint="eastAsia" w:ascii="宋体" w:hAnsi="宋体" w:cs="宋体"/>
                <w:color w:val="auto"/>
                <w:szCs w:val="21"/>
                <w:highlight w:val="none"/>
              </w:rPr>
              <w:t>如金融电子、汽车电子、医疗电子、信息采集及识别设备、数字化 3C 产品等），以及其他未列明计算机设备的制</w:t>
            </w:r>
            <w:r>
              <w:rPr>
                <w:rFonts w:hint="eastAsia" w:ascii="宋体" w:hAnsi="宋体" w:cs="宋体"/>
                <w:color w:val="auto"/>
                <w:spacing w:val="-6"/>
                <w:szCs w:val="21"/>
                <w:highlight w:val="none"/>
              </w:rPr>
              <w:t>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3919 其他计算机制造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0102</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
                <w:bCs/>
                <w:color w:val="auto"/>
                <w:szCs w:val="21"/>
                <w:highlight w:val="none"/>
              </w:rPr>
              <w:t>通讯及雷达设备制造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010201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通信系统设备制造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指固定或移动通信接入、传输、交换设备等通信系统建设所需设备的制造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392</w:t>
            </w:r>
            <w:r>
              <w:rPr>
                <w:rFonts w:ascii="宋体" w:hAnsi="宋体" w:cs="宋体"/>
                <w:color w:val="auto"/>
                <w:szCs w:val="21"/>
                <w:highlight w:val="none"/>
              </w:rPr>
              <w:t>1</w:t>
            </w:r>
            <w:r>
              <w:rPr>
                <w:rFonts w:hint="eastAsia" w:ascii="宋体" w:hAnsi="宋体" w:cs="宋体"/>
                <w:color w:val="auto"/>
                <w:szCs w:val="21"/>
                <w:highlight w:val="none"/>
              </w:rPr>
              <w:t xml:space="preserve"> 通信系统设备制造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010202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w:t>
            </w:r>
            <w:r>
              <w:rPr>
                <w:rFonts w:ascii="宋体" w:hAnsi="宋体" w:cs="宋体"/>
                <w:color w:val="auto"/>
                <w:szCs w:val="21"/>
                <w:highlight w:val="none"/>
              </w:rPr>
              <w:t>终端设备制造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指固定或移动通信终端设备的制造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3922 通信终端</w:t>
            </w:r>
            <w:r>
              <w:rPr>
                <w:rFonts w:ascii="宋体" w:hAnsi="宋体" w:cs="宋体"/>
                <w:color w:val="auto"/>
                <w:szCs w:val="21"/>
                <w:highlight w:val="none"/>
              </w:rPr>
              <w:t>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010203</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雷达</w:t>
            </w:r>
            <w:r>
              <w:rPr>
                <w:rFonts w:ascii="宋体" w:hAnsi="宋体" w:cs="宋体"/>
                <w:color w:val="auto"/>
                <w:szCs w:val="21"/>
                <w:highlight w:val="none"/>
              </w:rPr>
              <w:t>及配套设备制造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指雷达整机及雷达配套产品的制造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3940 雷达及配套设备制造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0103</w:t>
            </w: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数字媒体设备制造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广播</w:t>
            </w:r>
            <w:r>
              <w:rPr>
                <w:rFonts w:ascii="宋体" w:hAnsi="宋体" w:cs="宋体"/>
                <w:color w:val="auto"/>
                <w:szCs w:val="21"/>
                <w:highlight w:val="none"/>
              </w:rPr>
              <w:t>电视节目制作及发射设备制造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指广播电视节目制作、发射设备及器材的制造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3931 广播</w:t>
            </w:r>
            <w:r>
              <w:rPr>
                <w:rFonts w:ascii="宋体" w:hAnsi="宋体" w:cs="宋体"/>
                <w:color w:val="auto"/>
                <w:szCs w:val="21"/>
                <w:highlight w:val="none"/>
              </w:rPr>
              <w:t>电视节目制作及发射设备制造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广播</w:t>
            </w:r>
            <w:r>
              <w:rPr>
                <w:rFonts w:ascii="宋体" w:hAnsi="宋体" w:cs="宋体"/>
                <w:color w:val="auto"/>
                <w:szCs w:val="21"/>
                <w:highlight w:val="none"/>
              </w:rPr>
              <w:t>电视接收设备制造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指专业广播电视接收设备的制造。不包括家用广播电视接收设备的制造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3932 广播</w:t>
            </w:r>
            <w:r>
              <w:rPr>
                <w:rFonts w:ascii="宋体" w:hAnsi="宋体" w:cs="宋体"/>
                <w:color w:val="auto"/>
                <w:szCs w:val="21"/>
                <w:highlight w:val="none"/>
              </w:rPr>
              <w:t>电视接收设备制造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广播</w:t>
            </w:r>
            <w:r>
              <w:rPr>
                <w:rFonts w:ascii="宋体" w:hAnsi="宋体" w:cs="宋体"/>
                <w:color w:val="auto"/>
                <w:szCs w:val="21"/>
                <w:highlight w:val="none"/>
              </w:rPr>
              <w:t>电视专用配件制造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指专业用录像重放及其他配套的广播电视设备的制造。不包括家用广播电视装置的制造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3933 广播</w:t>
            </w:r>
            <w:r>
              <w:rPr>
                <w:rFonts w:ascii="宋体" w:hAnsi="宋体" w:cs="宋体"/>
                <w:color w:val="auto"/>
                <w:szCs w:val="21"/>
                <w:highlight w:val="none"/>
              </w:rPr>
              <w:t>电视专用配件制造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专业</w:t>
            </w:r>
            <w:r>
              <w:rPr>
                <w:rFonts w:ascii="宋体" w:hAnsi="宋体" w:cs="宋体"/>
                <w:color w:val="auto"/>
                <w:szCs w:val="21"/>
                <w:highlight w:val="none"/>
              </w:rPr>
              <w:t>音响设备制造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指广播电视、影剧院、各种场地等专业用录音、音响设备及其他配套设备的制造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3934 专业</w:t>
            </w:r>
            <w:r>
              <w:rPr>
                <w:rFonts w:ascii="宋体" w:hAnsi="宋体" w:cs="宋体"/>
                <w:color w:val="auto"/>
                <w:szCs w:val="21"/>
                <w:highlight w:val="none"/>
              </w:rPr>
              <w:t>音响设备制造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010305</w:t>
            </w:r>
          </w:p>
        </w:tc>
        <w:tc>
          <w:tcPr>
            <w:tcW w:w="1356" w:type="dxa"/>
            <w:noWrap w:val="0"/>
            <w:tcMar>
              <w:top w:w="10" w:type="dxa"/>
              <w:left w:w="10" w:type="dxa"/>
              <w:right w:w="10" w:type="dxa"/>
            </w:tcMar>
            <w:vAlign w:val="top"/>
          </w:tcPr>
          <w:p>
            <w:pPr>
              <w:spacing w:line="320" w:lineRule="exact"/>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应用</w:t>
            </w:r>
            <w:r>
              <w:rPr>
                <w:rFonts w:ascii="宋体" w:hAnsi="宋体" w:cs="宋体"/>
                <w:color w:val="auto"/>
                <w:spacing w:val="-6"/>
                <w:szCs w:val="21"/>
                <w:highlight w:val="none"/>
              </w:rPr>
              <w:t>电视设备及其他广播电视设备制造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指应用电视设备、其他广播电视设备和器材的制造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3939 应用</w:t>
            </w:r>
            <w:r>
              <w:rPr>
                <w:rFonts w:ascii="宋体" w:hAnsi="宋体" w:cs="宋体"/>
                <w:color w:val="auto"/>
                <w:szCs w:val="21"/>
                <w:highlight w:val="none"/>
              </w:rPr>
              <w:t>电视设备及其他广播电视设备制造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010306</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电视机制造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指非专业用电视机制造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3951 电视机制造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音响</w:t>
            </w:r>
            <w:r>
              <w:rPr>
                <w:rFonts w:ascii="宋体" w:hAnsi="宋体" w:cs="宋体"/>
                <w:color w:val="auto"/>
                <w:szCs w:val="21"/>
                <w:highlight w:val="none"/>
              </w:rPr>
              <w:t>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指非专业用智能音响、无线电收音机、收录音机、唱机等音响设备的制造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3952 音响</w:t>
            </w:r>
            <w:r>
              <w:rPr>
                <w:rFonts w:ascii="宋体" w:hAnsi="宋体" w:cs="宋体"/>
                <w:color w:val="auto"/>
                <w:szCs w:val="21"/>
                <w:highlight w:val="none"/>
              </w:rPr>
              <w:t>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010308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影视</w:t>
            </w:r>
            <w:r>
              <w:rPr>
                <w:rFonts w:ascii="宋体" w:hAnsi="宋体" w:cs="宋体"/>
                <w:color w:val="auto"/>
                <w:szCs w:val="21"/>
                <w:highlight w:val="none"/>
              </w:rPr>
              <w:t>录放设备制造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指非专业用智能机顶盒、录像机、摄像机、激光视盘机等影视设备整机及零部件的制造，包括教学用影视设备的制造。不包括广播电视等专业影视设备的制造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3953 影视</w:t>
            </w:r>
            <w:r>
              <w:rPr>
                <w:rFonts w:ascii="宋体" w:hAnsi="宋体" w:cs="宋体"/>
                <w:color w:val="auto"/>
                <w:szCs w:val="21"/>
                <w:highlight w:val="none"/>
              </w:rPr>
              <w:t>录放设备制造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0104</w:t>
            </w: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智能设备制造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010401</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工业</w:t>
            </w:r>
            <w:r>
              <w:rPr>
                <w:rFonts w:ascii="宋体" w:hAnsi="宋体" w:cs="宋体"/>
                <w:color w:val="auto"/>
                <w:szCs w:val="21"/>
                <w:highlight w:val="none"/>
              </w:rPr>
              <w:t>机器人制造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指用于工业自动化领域的工业机器人的制造，如焊接专用机器人、喷涂机器人、工厂用物流机器人、机械式遥控操作装置（遥控机械手）等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3491 工业</w:t>
            </w:r>
            <w:r>
              <w:rPr>
                <w:rFonts w:ascii="宋体" w:hAnsi="宋体" w:cs="宋体"/>
                <w:color w:val="auto"/>
                <w:szCs w:val="21"/>
                <w:highlight w:val="none"/>
              </w:rPr>
              <w:t>机器人制造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010402</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特殊</w:t>
            </w:r>
            <w:r>
              <w:rPr>
                <w:rFonts w:ascii="宋体" w:hAnsi="宋体" w:cs="宋体"/>
                <w:color w:val="auto"/>
                <w:szCs w:val="21"/>
                <w:highlight w:val="none"/>
              </w:rPr>
              <w:t>作业机器人制造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指用于特殊性作业的机器人的制造，如水下、危险环境、高空作业、国防、科考、特殊搬运、农业等特殊作业机器人</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3492 特殊</w:t>
            </w:r>
            <w:r>
              <w:rPr>
                <w:rFonts w:ascii="宋体" w:hAnsi="宋体" w:cs="宋体"/>
                <w:color w:val="auto"/>
                <w:szCs w:val="21"/>
                <w:highlight w:val="none"/>
              </w:rPr>
              <w:t>作业机器人制造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智能</w:t>
            </w:r>
            <w:r>
              <w:rPr>
                <w:rFonts w:ascii="宋体" w:hAnsi="宋体" w:cs="宋体"/>
                <w:color w:val="auto"/>
                <w:szCs w:val="21"/>
                <w:highlight w:val="none"/>
              </w:rPr>
              <w:t>照明器具制造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的制造</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3874 智能</w:t>
            </w:r>
            <w:r>
              <w:rPr>
                <w:rFonts w:ascii="宋体" w:hAnsi="宋体" w:cs="宋体"/>
                <w:color w:val="auto"/>
                <w:szCs w:val="21"/>
                <w:highlight w:val="none"/>
              </w:rPr>
              <w:t>照明器具制造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可穿戴</w:t>
            </w:r>
            <w:r>
              <w:rPr>
                <w:rFonts w:ascii="宋体" w:hAnsi="宋体" w:cs="宋体"/>
                <w:color w:val="auto"/>
                <w:szCs w:val="21"/>
                <w:highlight w:val="none"/>
              </w:rPr>
              <w:t>智能设备制造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指由用户穿戴和控制，并且自然、持续地运行和交互的个人移动计算设备产品的制造，包括可穿戴运动监测设备的制造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3961 可穿戴</w:t>
            </w:r>
            <w:r>
              <w:rPr>
                <w:rFonts w:ascii="宋体" w:hAnsi="宋体" w:cs="宋体"/>
                <w:color w:val="auto"/>
                <w:szCs w:val="21"/>
                <w:highlight w:val="none"/>
              </w:rPr>
              <w:t>智能设备制造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智能</w:t>
            </w:r>
            <w:r>
              <w:rPr>
                <w:rFonts w:ascii="宋体" w:hAnsi="宋体" w:cs="宋体"/>
                <w:color w:val="auto"/>
                <w:szCs w:val="21"/>
                <w:highlight w:val="none"/>
              </w:rPr>
              <w:t>车载设备制造</w:t>
            </w:r>
          </w:p>
        </w:tc>
        <w:tc>
          <w:tcPr>
            <w:tcW w:w="3515" w:type="dxa"/>
            <w:noWrap w:val="0"/>
            <w:tcMar>
              <w:top w:w="10" w:type="dxa"/>
              <w:left w:w="10" w:type="dxa"/>
              <w:right w:w="10" w:type="dxa"/>
            </w:tcMar>
            <w:vAlign w:val="top"/>
          </w:tcPr>
          <w:p>
            <w:pPr>
              <w:spacing w:line="320" w:lineRule="exact"/>
              <w:ind w:firstLine="222" w:firstLineChars="100"/>
              <w:rPr>
                <w:rFonts w:ascii="宋体" w:hAnsi="宋体" w:cs="宋体"/>
                <w:color w:val="auto"/>
                <w:szCs w:val="21"/>
                <w:highlight w:val="none"/>
              </w:rPr>
            </w:pPr>
            <w:r>
              <w:rPr>
                <w:rFonts w:hint="eastAsia" w:ascii="宋体" w:hAnsi="宋体" w:cs="宋体"/>
                <w:color w:val="auto"/>
                <w:spacing w:val="6"/>
                <w:szCs w:val="21"/>
                <w:highlight w:val="none"/>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3962 智能</w:t>
            </w:r>
            <w:r>
              <w:rPr>
                <w:rFonts w:ascii="宋体" w:hAnsi="宋体" w:cs="宋体"/>
                <w:color w:val="auto"/>
                <w:szCs w:val="21"/>
                <w:highlight w:val="none"/>
              </w:rPr>
              <w:t>车载设备制造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智能</w:t>
            </w:r>
            <w:r>
              <w:rPr>
                <w:rFonts w:ascii="宋体" w:hAnsi="宋体" w:cs="宋体"/>
                <w:color w:val="auto"/>
                <w:szCs w:val="21"/>
                <w:highlight w:val="none"/>
              </w:rPr>
              <w:t>无人飞行器制造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指按照国家有关安全规定标准，经允许生产并主要用于娱乐、科普等领域的智能无人飞行器的制造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3963 智能</w:t>
            </w:r>
            <w:r>
              <w:rPr>
                <w:rFonts w:ascii="宋体" w:hAnsi="宋体" w:cs="宋体"/>
                <w:color w:val="auto"/>
                <w:szCs w:val="21"/>
                <w:highlight w:val="none"/>
              </w:rPr>
              <w:t>无人飞行器制造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服务消费</w:t>
            </w:r>
            <w:r>
              <w:rPr>
                <w:rFonts w:ascii="宋体" w:hAnsi="宋体" w:cs="宋体"/>
                <w:color w:val="auto"/>
                <w:szCs w:val="21"/>
                <w:highlight w:val="none"/>
              </w:rPr>
              <w:t>机器人制造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除工业和特殊作业以外的各种机器人的制造，包括用于个人、家庭及商业服务类机器人，如家务机器人、餐饮用机器人、宾馆用机器人、销售用机器人、娱乐机器人、助老助残机器人、医疗机器人、清洁机器人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3964 服务消费</w:t>
            </w:r>
            <w:r>
              <w:rPr>
                <w:rFonts w:ascii="宋体" w:hAnsi="宋体" w:cs="宋体"/>
                <w:color w:val="auto"/>
                <w:szCs w:val="21"/>
                <w:highlight w:val="none"/>
              </w:rPr>
              <w:t>机器人制造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010408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w:t>
            </w:r>
            <w:r>
              <w:rPr>
                <w:rFonts w:ascii="宋体" w:hAnsi="宋体" w:cs="宋体"/>
                <w:color w:val="auto"/>
                <w:szCs w:val="21"/>
                <w:highlight w:val="none"/>
              </w:rPr>
              <w:t>智能消费设备制造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指其他未列明的智能消费设备的制造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3969 其他</w:t>
            </w:r>
            <w:r>
              <w:rPr>
                <w:rFonts w:ascii="宋体" w:hAnsi="宋体" w:cs="宋体"/>
                <w:color w:val="auto"/>
                <w:szCs w:val="21"/>
                <w:highlight w:val="none"/>
              </w:rPr>
              <w:t>智能消费设备制造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0105</w:t>
            </w: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电子元器件</w:t>
            </w:r>
            <w:r>
              <w:rPr>
                <w:rFonts w:ascii="宋体" w:hAnsi="宋体" w:cs="宋体"/>
                <w:b/>
                <w:bCs/>
                <w:color w:val="auto"/>
                <w:szCs w:val="21"/>
                <w:highlight w:val="none"/>
                <w:lang w:val="en"/>
              </w:rPr>
              <w:t>及设备</w:t>
            </w:r>
            <w:r>
              <w:rPr>
                <w:rFonts w:hint="eastAsia" w:ascii="宋体" w:hAnsi="宋体" w:cs="宋体"/>
                <w:b/>
                <w:bCs/>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010501</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半导体</w:t>
            </w:r>
            <w:r>
              <w:rPr>
                <w:rFonts w:ascii="宋体" w:hAnsi="宋体" w:cs="宋体"/>
                <w:color w:val="auto"/>
                <w:szCs w:val="21"/>
                <w:highlight w:val="none"/>
              </w:rPr>
              <w:t>器件专用设备制造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指生产集成电路、二极管（含发光二极管）、三极管、太阳能电池片的设备的制造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3562 半导体</w:t>
            </w:r>
            <w:r>
              <w:rPr>
                <w:rFonts w:ascii="宋体" w:hAnsi="宋体" w:cs="宋体"/>
                <w:color w:val="auto"/>
                <w:szCs w:val="21"/>
                <w:highlight w:val="none"/>
              </w:rPr>
              <w:t>器件专用设备制造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010502</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w:t>
            </w:r>
            <w:r>
              <w:rPr>
                <w:rFonts w:ascii="宋体" w:hAnsi="宋体" w:cs="宋体"/>
                <w:color w:val="auto"/>
                <w:szCs w:val="21"/>
                <w:highlight w:val="none"/>
              </w:rPr>
              <w:t>元器件与机电</w:t>
            </w:r>
            <w:r>
              <w:rPr>
                <w:rFonts w:hint="eastAsia" w:ascii="宋体" w:hAnsi="宋体" w:cs="宋体"/>
                <w:color w:val="auto"/>
                <w:szCs w:val="21"/>
                <w:highlight w:val="none"/>
              </w:rPr>
              <w:t>组</w:t>
            </w:r>
            <w:r>
              <w:rPr>
                <w:rFonts w:ascii="宋体" w:hAnsi="宋体" w:cs="宋体"/>
                <w:color w:val="auto"/>
                <w:szCs w:val="21"/>
                <w:highlight w:val="none"/>
              </w:rPr>
              <w:t>件设备制造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指生产电容、电阻、电感、印制电路板、电声元件、锂离子电池等电子元器件与机电组件的设备的制造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3563 电子</w:t>
            </w:r>
            <w:r>
              <w:rPr>
                <w:rFonts w:ascii="宋体" w:hAnsi="宋体" w:cs="宋体"/>
                <w:color w:val="auto"/>
                <w:szCs w:val="21"/>
                <w:highlight w:val="none"/>
              </w:rPr>
              <w:t>元器件与机电</w:t>
            </w:r>
            <w:r>
              <w:rPr>
                <w:rFonts w:hint="eastAsia" w:ascii="宋体" w:hAnsi="宋体" w:cs="宋体"/>
                <w:color w:val="auto"/>
                <w:szCs w:val="21"/>
                <w:highlight w:val="none"/>
              </w:rPr>
              <w:t>组</w:t>
            </w:r>
            <w:r>
              <w:rPr>
                <w:rFonts w:ascii="宋体" w:hAnsi="宋体" w:cs="宋体"/>
                <w:color w:val="auto"/>
                <w:szCs w:val="21"/>
                <w:highlight w:val="none"/>
              </w:rPr>
              <w:t>件设备制造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010503</w:t>
            </w:r>
          </w:p>
        </w:tc>
        <w:tc>
          <w:tcPr>
            <w:tcW w:w="1356" w:type="dxa"/>
            <w:noWrap w:val="0"/>
            <w:tcMar>
              <w:top w:w="10" w:type="dxa"/>
              <w:left w:w="10" w:type="dxa"/>
              <w:right w:w="10" w:type="dxa"/>
            </w:tcMar>
            <w:vAlign w:val="top"/>
          </w:tcPr>
          <w:p>
            <w:pPr>
              <w:spacing w:line="320" w:lineRule="exact"/>
              <w:ind w:firstLine="404" w:firstLineChars="200"/>
              <w:rPr>
                <w:rFonts w:ascii="宋体" w:hAnsi="宋体" w:cs="宋体"/>
                <w:b/>
                <w:bCs/>
                <w:color w:val="auto"/>
                <w:szCs w:val="21"/>
                <w:highlight w:val="none"/>
              </w:rPr>
            </w:pPr>
            <w:r>
              <w:rPr>
                <w:rFonts w:hint="eastAsia" w:ascii="宋体" w:hAnsi="宋体" w:cs="宋体"/>
                <w:color w:val="auto"/>
                <w:spacing w:val="-4"/>
                <w:szCs w:val="21"/>
                <w:highlight w:val="none"/>
              </w:rPr>
              <w:t>电力电子元器件制造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指用于电能变换和控制（从而实现运动控制）的电子元器件的制造</w:t>
            </w:r>
          </w:p>
        </w:tc>
        <w:tc>
          <w:tcPr>
            <w:tcW w:w="1935" w:type="dxa"/>
            <w:noWrap w:val="0"/>
            <w:tcMar>
              <w:top w:w="10" w:type="dxa"/>
              <w:left w:w="10" w:type="dxa"/>
              <w:right w:w="10" w:type="dxa"/>
            </w:tcMar>
            <w:vAlign w:val="top"/>
          </w:tcPr>
          <w:p>
            <w:pPr>
              <w:spacing w:line="320" w:lineRule="exact"/>
              <w:ind w:firstLine="202" w:firstLineChars="100"/>
              <w:rPr>
                <w:rFonts w:ascii="宋体" w:hAnsi="宋体" w:cs="宋体"/>
                <w:color w:val="auto"/>
                <w:szCs w:val="21"/>
                <w:highlight w:val="none"/>
              </w:rPr>
            </w:pPr>
            <w:r>
              <w:rPr>
                <w:rFonts w:hint="eastAsia" w:ascii="宋体" w:hAnsi="宋体" w:cs="宋体"/>
                <w:color w:val="auto"/>
                <w:spacing w:val="-4"/>
                <w:szCs w:val="21"/>
                <w:highlight w:val="none"/>
              </w:rPr>
              <w:t>3824 电力电子元器件制造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光伏设备及元器件制造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指太阳能组件（太阳能电池）、控制设备及其他太阳能设备和元器件制造。不包括太阳能用蓄电池制造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3825 光伏设备及元器件制造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电气信号设备装置制造</w:t>
            </w:r>
          </w:p>
        </w:tc>
        <w:tc>
          <w:tcPr>
            <w:tcW w:w="3515" w:type="dxa"/>
            <w:noWrap w:val="0"/>
            <w:tcMar>
              <w:top w:w="10" w:type="dxa"/>
              <w:left w:w="10" w:type="dxa"/>
              <w:right w:w="10" w:type="dxa"/>
            </w:tcMar>
            <w:vAlign w:val="top"/>
          </w:tcPr>
          <w:p>
            <w:pPr>
              <w:spacing w:line="320" w:lineRule="exact"/>
              <w:ind w:firstLine="222" w:firstLineChars="100"/>
              <w:rPr>
                <w:rFonts w:ascii="宋体" w:hAnsi="宋体" w:cs="宋体"/>
                <w:color w:val="auto"/>
                <w:szCs w:val="21"/>
                <w:highlight w:val="none"/>
              </w:rPr>
            </w:pPr>
            <w:r>
              <w:rPr>
                <w:rFonts w:hint="eastAsia" w:ascii="宋体" w:hAnsi="宋体" w:cs="宋体"/>
                <w:color w:val="auto"/>
                <w:spacing w:val="6"/>
                <w:szCs w:val="21"/>
                <w:highlight w:val="none"/>
              </w:rPr>
              <w:t>指交通运输工具（如机动车、船舶、铁道车辆等）专用信号装置及各种电气音响或视觉报警、警告、指示装置的制造，以及其他电气声像信号装置的制</w:t>
            </w:r>
            <w:r>
              <w:rPr>
                <w:rFonts w:hint="eastAsia" w:ascii="宋体" w:hAnsi="宋体" w:cs="宋体"/>
                <w:color w:val="auto"/>
                <w:szCs w:val="21"/>
                <w:highlight w:val="none"/>
              </w:rPr>
              <w:t>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3891</w:t>
            </w:r>
            <w:r>
              <w:rPr>
                <w:rFonts w:ascii="宋体" w:hAnsi="宋体" w:cs="宋体"/>
                <w:color w:val="auto"/>
                <w:szCs w:val="21"/>
                <w:highlight w:val="none"/>
                <w:lang w:val="en"/>
              </w:rPr>
              <w:t xml:space="preserve"> </w:t>
            </w:r>
            <w:r>
              <w:rPr>
                <w:rFonts w:hint="eastAsia" w:ascii="宋体" w:hAnsi="宋体" w:cs="宋体"/>
                <w:color w:val="auto"/>
                <w:szCs w:val="21"/>
                <w:highlight w:val="none"/>
              </w:rPr>
              <w:t>电气信号设备装置制造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w:t>
            </w:r>
            <w:r>
              <w:rPr>
                <w:rFonts w:ascii="宋体" w:hAnsi="宋体" w:cs="宋体"/>
                <w:color w:val="auto"/>
                <w:szCs w:val="21"/>
                <w:highlight w:val="none"/>
              </w:rPr>
              <w:t>真空器件制造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指电子热离子管、冷阴极管或光电阴极管及其他真空电子器件，以及电子管零件的制造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3971 电子</w:t>
            </w:r>
            <w:r>
              <w:rPr>
                <w:rFonts w:ascii="宋体" w:hAnsi="宋体" w:cs="宋体"/>
                <w:color w:val="auto"/>
                <w:szCs w:val="21"/>
                <w:highlight w:val="none"/>
              </w:rPr>
              <w:t>真空器件制造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半导体分立器件制造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指各类半导体分立器件的制造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3972 半导体分立器件制造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集成电路</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指单片集成电路、混合式集成电路的制造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3973 集成电路</w:t>
            </w:r>
            <w:r>
              <w:rPr>
                <w:rFonts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010509</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显示器件</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基于电子手段呈现信息供视觉感受的器件及模组的制造，包括薄膜晶体管液晶显示器件（TN/STN-LCD、TFT-LCD）、场发射显示器件（FED）、真空荧光显示器件（VFD）、有机发光二极管显示器件（OLED）、等离子显示器件（PDP）、发光二极管显示器件（LED）、曲面显示器件以及柔性显示器件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3974 显示器件</w:t>
            </w:r>
            <w:r>
              <w:rPr>
                <w:rFonts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010510</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半导体</w:t>
            </w:r>
            <w:r>
              <w:rPr>
                <w:rFonts w:ascii="宋体" w:hAnsi="宋体" w:cs="宋体"/>
                <w:color w:val="auto"/>
                <w:szCs w:val="21"/>
                <w:highlight w:val="none"/>
              </w:rPr>
              <w:t>照明器件制造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指用于半导体照明的发光二极管（LED）、有机发光二极管（OLED）等器件的制造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3975 半导体</w:t>
            </w:r>
            <w:r>
              <w:rPr>
                <w:rFonts w:ascii="宋体" w:hAnsi="宋体" w:cs="宋体"/>
                <w:color w:val="auto"/>
                <w:szCs w:val="21"/>
                <w:highlight w:val="none"/>
              </w:rPr>
              <w:t>照明器件制造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光电子</w:t>
            </w:r>
            <w:r>
              <w:rPr>
                <w:rFonts w:ascii="宋体" w:hAnsi="宋体" w:cs="宋体"/>
                <w:color w:val="auto"/>
                <w:szCs w:val="21"/>
                <w:highlight w:val="none"/>
              </w:rPr>
              <w:t>器件制造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指利用半导体光—电子（或电—光子）转换效应制成的各种功能器件的制造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3976 光电子</w:t>
            </w:r>
            <w:r>
              <w:rPr>
                <w:rFonts w:ascii="宋体" w:hAnsi="宋体" w:cs="宋体"/>
                <w:color w:val="auto"/>
                <w:szCs w:val="21"/>
                <w:highlight w:val="none"/>
              </w:rPr>
              <w:t>器件制造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cs="微软雅黑"/>
                <w:color w:val="auto"/>
                <w:sz w:val="24"/>
                <w:highlight w:val="none"/>
              </w:rPr>
            </w:pPr>
            <w:r>
              <w:rPr>
                <w:rFonts w:hint="eastAsia" w:ascii="宋体" w:hAnsi="宋体" w:cs="宋体"/>
                <w:color w:val="auto"/>
                <w:kern w:val="0"/>
                <w:szCs w:val="21"/>
                <w:highlight w:val="none"/>
                <w:lang w:bidi="ar"/>
              </w:rPr>
              <w:t>010512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电阻电容</w:t>
            </w:r>
            <w:r>
              <w:rPr>
                <w:rFonts w:ascii="宋体" w:hAnsi="宋体" w:cs="宋体"/>
                <w:color w:val="auto"/>
                <w:szCs w:val="21"/>
                <w:highlight w:val="none"/>
              </w:rPr>
              <w:t>电感元件制造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指电容器（包括超级电容器）、电阻器、电位器、电感器件、电子变压器件的制造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3981 电阻电容</w:t>
            </w:r>
            <w:r>
              <w:rPr>
                <w:rFonts w:ascii="宋体" w:hAnsi="宋体" w:cs="宋体"/>
                <w:color w:val="auto"/>
                <w:szCs w:val="21"/>
                <w:highlight w:val="none"/>
              </w:rPr>
              <w:t>电感元件制造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电子电路</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指在绝缘基材上采用印制工艺形成电气电子连接电路，以及附有无源与有源元件的制造，包括印刷电路板及附有元器件构成电子电路功能组合件</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3982 电子电路</w:t>
            </w:r>
            <w:r>
              <w:rPr>
                <w:rFonts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敏感</w:t>
            </w:r>
            <w:r>
              <w:rPr>
                <w:rFonts w:ascii="宋体" w:hAnsi="宋体" w:cs="宋体"/>
                <w:color w:val="auto"/>
                <w:szCs w:val="21"/>
                <w:highlight w:val="none"/>
              </w:rPr>
              <w:t>元件及传感器制造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指按一定规律，将感受到的信息转换成为电信号或其他所需形式的信息输出的敏感元件及传感器的制造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3983 敏感</w:t>
            </w:r>
            <w:r>
              <w:rPr>
                <w:rFonts w:ascii="宋体" w:hAnsi="宋体" w:cs="宋体"/>
                <w:color w:val="auto"/>
                <w:szCs w:val="21"/>
                <w:highlight w:val="none"/>
              </w:rPr>
              <w:t>元件及传感器制造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电声</w:t>
            </w:r>
            <w:r>
              <w:rPr>
                <w:rFonts w:ascii="宋体" w:hAnsi="宋体" w:cs="宋体"/>
                <w:color w:val="auto"/>
                <w:szCs w:val="21"/>
                <w:highlight w:val="none"/>
              </w:rPr>
              <w:t>器件及零件制造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指扬声器、送受话器、耳机、音箱等器件及零件的制造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3984 电声</w:t>
            </w:r>
            <w:r>
              <w:rPr>
                <w:rFonts w:ascii="宋体" w:hAnsi="宋体" w:cs="宋体"/>
                <w:color w:val="auto"/>
                <w:szCs w:val="21"/>
                <w:highlight w:val="none"/>
              </w:rPr>
              <w:t>器件及零件制造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010516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w:t>
            </w:r>
            <w:r>
              <w:rPr>
                <w:rFonts w:ascii="宋体" w:hAnsi="宋体" w:cs="宋体"/>
                <w:color w:val="auto"/>
                <w:szCs w:val="21"/>
                <w:highlight w:val="none"/>
              </w:rPr>
              <w:t>专用材料制造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指用于电子元器件、组件及系统制备的专用电子功能材料、互联与封装材料、工艺及辅助材料的制造，包括半导体材料、光电子材料、磁性材料、锂电池材料、电子陶瓷材料、覆铜板及铜箔材料、电子化工材料等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3985 电子</w:t>
            </w:r>
            <w:r>
              <w:rPr>
                <w:rFonts w:ascii="宋体" w:hAnsi="宋体" w:cs="宋体"/>
                <w:color w:val="auto"/>
                <w:szCs w:val="21"/>
                <w:highlight w:val="none"/>
              </w:rPr>
              <w:t>专用材料制造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hint="eastAsia" w:ascii="宋体" w:hAnsi="宋体" w:cs="宋体"/>
                <w:color w:val="auto"/>
                <w:kern w:val="0"/>
                <w:szCs w:val="21"/>
                <w:highlight w:val="none"/>
                <w:lang w:bidi="ar"/>
              </w:rPr>
              <w:t>010517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其他元器件及设备</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指其他未列明的电子器件</w:t>
            </w:r>
            <w:r>
              <w:rPr>
                <w:rFonts w:ascii="宋体" w:hAnsi="宋体" w:cs="宋体"/>
                <w:color w:val="auto"/>
                <w:szCs w:val="21"/>
                <w:highlight w:val="none"/>
                <w:lang w:val="en"/>
              </w:rPr>
              <w:t>、</w:t>
            </w:r>
            <w:r>
              <w:rPr>
                <w:rFonts w:hint="eastAsia" w:ascii="宋体" w:hAnsi="宋体" w:cs="宋体"/>
                <w:color w:val="auto"/>
                <w:szCs w:val="21"/>
                <w:highlight w:val="none"/>
              </w:rPr>
              <w:t>电子元件、电子设备的制造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3979 其他</w:t>
            </w:r>
            <w:r>
              <w:rPr>
                <w:rFonts w:ascii="宋体" w:hAnsi="宋体" w:cs="宋体"/>
                <w:color w:val="auto"/>
                <w:szCs w:val="21"/>
                <w:highlight w:val="none"/>
              </w:rPr>
              <w:t>电子器件制造</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3989 其他</w:t>
            </w:r>
            <w:r>
              <w:rPr>
                <w:rFonts w:ascii="宋体" w:hAnsi="宋体" w:cs="宋体"/>
                <w:color w:val="auto"/>
                <w:szCs w:val="21"/>
                <w:highlight w:val="none"/>
              </w:rPr>
              <w:t>电子元件制造</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3990 其他</w:t>
            </w:r>
            <w:r>
              <w:rPr>
                <w:rFonts w:ascii="宋体" w:hAnsi="宋体" w:cs="宋体"/>
                <w:color w:val="auto"/>
                <w:szCs w:val="21"/>
                <w:highlight w:val="none"/>
              </w:rPr>
              <w:t>电子设备</w:t>
            </w:r>
            <w:r>
              <w:rPr>
                <w:rFonts w:hint="eastAsia"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0106</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其他数字产品制造业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0106</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记录媒介复制</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指将母带、母盘上的信息进行批量翻录的生产活动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2330 记录媒介复制</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0106</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电子游戏游艺设备制造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指主要安装在室内游乐场所的电子游乐设备的制造，包括电子游戏机等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2462*游艺用品及室内游艺器材制造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0106</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信息化学品制造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指电影、照相、幻灯、投影、医学和其他生产用感光材料、冲洗套药，磁、光记录材料，光纤维通讯用辅助材料，及其专用化学制剂的制造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2664 文化用信息化学品制造</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2665 医学生产用信息化学品制造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010604</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计算器</w:t>
            </w:r>
            <w:r>
              <w:rPr>
                <w:rFonts w:ascii="宋体" w:hAnsi="宋体" w:cs="宋体"/>
                <w:color w:val="auto"/>
                <w:szCs w:val="21"/>
                <w:highlight w:val="none"/>
              </w:rPr>
              <w:t>及货币专用设备制造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指金融、商业、交通及办公等使用的电子计算器、具有计算功能的数据记录、重现和显示机器的制造，以及货币专用设备及类似机械的制造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ascii="宋体" w:hAnsi="宋体" w:cs="宋体"/>
                <w:color w:val="auto"/>
                <w:szCs w:val="21"/>
                <w:highlight w:val="none"/>
              </w:rPr>
              <w:t>3475</w:t>
            </w:r>
            <w:r>
              <w:rPr>
                <w:rFonts w:hint="eastAsia" w:ascii="宋体" w:hAnsi="宋体" w:cs="宋体"/>
                <w:color w:val="auto"/>
                <w:szCs w:val="21"/>
                <w:highlight w:val="none"/>
              </w:rPr>
              <w:t xml:space="preserve"> 计算器</w:t>
            </w:r>
            <w:r>
              <w:rPr>
                <w:rFonts w:ascii="宋体" w:hAnsi="宋体" w:cs="宋体"/>
                <w:color w:val="auto"/>
                <w:szCs w:val="21"/>
                <w:highlight w:val="none"/>
              </w:rPr>
              <w:t>及货币专用设备制造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010605</w:t>
            </w:r>
          </w:p>
        </w:tc>
        <w:tc>
          <w:tcPr>
            <w:tcW w:w="1356" w:type="dxa"/>
            <w:noWrap w:val="0"/>
            <w:tcMar>
              <w:top w:w="10" w:type="dxa"/>
              <w:left w:w="10" w:type="dxa"/>
              <w:right w:w="10" w:type="dxa"/>
            </w:tcMar>
            <w:vAlign w:val="top"/>
          </w:tcPr>
          <w:p>
            <w:pPr>
              <w:tabs>
                <w:tab w:val="right" w:pos="2533"/>
              </w:tabs>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增</w:t>
            </w:r>
            <w:r>
              <w:rPr>
                <w:rFonts w:ascii="宋体" w:hAnsi="宋体" w:cs="宋体"/>
                <w:color w:val="auto"/>
                <w:szCs w:val="21"/>
                <w:highlight w:val="none"/>
              </w:rPr>
              <w:t>材</w:t>
            </w:r>
            <w:r>
              <w:rPr>
                <w:rFonts w:hint="eastAsia" w:ascii="宋体" w:hAnsi="宋体" w:cs="宋体"/>
                <w:color w:val="auto"/>
                <w:szCs w:val="21"/>
                <w:highlight w:val="none"/>
              </w:rPr>
              <w:t>制造</w:t>
            </w:r>
            <w:r>
              <w:rPr>
                <w:rFonts w:ascii="宋体" w:hAnsi="宋体" w:cs="宋体"/>
                <w:color w:val="auto"/>
                <w:szCs w:val="21"/>
                <w:highlight w:val="none"/>
              </w:rPr>
              <w:t>装备制造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指以增材制造（3D打印）技术进行加工的设备制造和零部件制造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3493 增</w:t>
            </w:r>
            <w:r>
              <w:rPr>
                <w:rFonts w:ascii="宋体" w:hAnsi="宋体" w:cs="宋体"/>
                <w:color w:val="auto"/>
                <w:szCs w:val="21"/>
                <w:highlight w:val="none"/>
              </w:rPr>
              <w:t>材</w:t>
            </w:r>
            <w:r>
              <w:rPr>
                <w:rFonts w:hint="eastAsia" w:ascii="宋体" w:hAnsi="宋体" w:cs="宋体"/>
                <w:color w:val="auto"/>
                <w:szCs w:val="21"/>
                <w:highlight w:val="none"/>
              </w:rPr>
              <w:t>制造</w:t>
            </w:r>
            <w:r>
              <w:rPr>
                <w:rFonts w:ascii="宋体" w:hAnsi="宋体" w:cs="宋体"/>
                <w:color w:val="auto"/>
                <w:szCs w:val="21"/>
                <w:highlight w:val="none"/>
              </w:rPr>
              <w:t>装备制造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010606</w:t>
            </w:r>
          </w:p>
        </w:tc>
        <w:tc>
          <w:tcPr>
            <w:tcW w:w="1356" w:type="dxa"/>
            <w:noWrap w:val="0"/>
            <w:tcMar>
              <w:top w:w="10" w:type="dxa"/>
              <w:left w:w="10" w:type="dxa"/>
              <w:right w:w="10" w:type="dxa"/>
            </w:tcMar>
            <w:vAlign w:val="top"/>
          </w:tcPr>
          <w:p>
            <w:pPr>
              <w:spacing w:line="320" w:lineRule="exact"/>
              <w:ind w:firstLine="396" w:firstLineChars="200"/>
              <w:jc w:val="left"/>
              <w:rPr>
                <w:rFonts w:ascii="宋体" w:hAnsi="宋体" w:cs="宋体"/>
                <w:color w:val="auto"/>
                <w:szCs w:val="21"/>
                <w:highlight w:val="none"/>
              </w:rPr>
            </w:pPr>
            <w:r>
              <w:rPr>
                <w:rFonts w:hint="eastAsia" w:ascii="宋体" w:hAnsi="宋体" w:cs="宋体"/>
                <w:color w:val="auto"/>
                <w:spacing w:val="-6"/>
                <w:szCs w:val="21"/>
                <w:highlight w:val="none"/>
              </w:rPr>
              <w:t>专用电线</w:t>
            </w:r>
            <w:r>
              <w:rPr>
                <w:rFonts w:ascii="宋体" w:hAnsi="宋体" w:cs="宋体"/>
                <w:color w:val="auto"/>
                <w:spacing w:val="-6"/>
                <w:szCs w:val="21"/>
                <w:highlight w:val="none"/>
              </w:rPr>
              <w:t>、</w:t>
            </w:r>
            <w:r>
              <w:rPr>
                <w:rFonts w:ascii="宋体" w:hAnsi="宋体" w:cs="宋体"/>
                <w:color w:val="auto"/>
                <w:szCs w:val="21"/>
                <w:highlight w:val="none"/>
              </w:rPr>
              <w:t>电缆制造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指在声音</w:t>
            </w:r>
            <w:r>
              <w:rPr>
                <w:rFonts w:ascii="宋体" w:hAnsi="宋体" w:cs="宋体"/>
                <w:color w:val="auto"/>
                <w:szCs w:val="21"/>
                <w:highlight w:val="none"/>
              </w:rPr>
              <w:t>、</w:t>
            </w:r>
            <w:r>
              <w:rPr>
                <w:rFonts w:hint="eastAsia" w:ascii="宋体" w:hAnsi="宋体" w:cs="宋体"/>
                <w:color w:val="auto"/>
                <w:szCs w:val="21"/>
                <w:highlight w:val="none"/>
              </w:rPr>
              <w:t>文字、图像等信息传播方面所使用的电线电缆的制造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ascii="宋体" w:hAnsi="宋体" w:cs="宋体"/>
                <w:color w:val="auto"/>
                <w:szCs w:val="21"/>
                <w:highlight w:val="none"/>
              </w:rPr>
              <w:t>3831*</w:t>
            </w:r>
            <w:r>
              <w:rPr>
                <w:rFonts w:hint="eastAsia" w:ascii="宋体" w:hAnsi="宋体" w:cs="宋体"/>
                <w:color w:val="auto"/>
                <w:szCs w:val="21"/>
                <w:highlight w:val="none"/>
              </w:rPr>
              <w:t>电线</w:t>
            </w:r>
            <w:r>
              <w:rPr>
                <w:rFonts w:ascii="宋体" w:hAnsi="宋体" w:cs="宋体"/>
                <w:color w:val="auto"/>
                <w:szCs w:val="21"/>
                <w:highlight w:val="none"/>
              </w:rPr>
              <w:t>、电缆制造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光纤</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指将电的信号变成光的信号，进行声音、文字、图像等信息传输的光纤的制造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3832 光纤</w:t>
            </w:r>
            <w:r>
              <w:rPr>
                <w:rFonts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光缆</w:t>
            </w:r>
            <w:r>
              <w:rPr>
                <w:rFonts w:ascii="宋体" w:hAnsi="宋体" w:cs="宋体"/>
                <w:color w:val="auto"/>
                <w:szCs w:val="21"/>
                <w:highlight w:val="none"/>
              </w:rPr>
              <w:t>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指利用置于包覆套中的一根或多根光纤作为传输媒质并可以单独或成组使用的光缆的制造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3833 光缆</w:t>
            </w:r>
            <w:r>
              <w:rPr>
                <w:rFonts w:ascii="宋体" w:hAnsi="宋体" w:cs="宋体"/>
                <w:color w:val="auto"/>
                <w:szCs w:val="21"/>
                <w:highlight w:val="none"/>
              </w:rPr>
              <w:t>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010609</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工业自动控制系统装置制造</w:t>
            </w:r>
          </w:p>
        </w:tc>
        <w:tc>
          <w:tcPr>
            <w:tcW w:w="3515" w:type="dxa"/>
            <w:noWrap w:val="0"/>
            <w:tcMar>
              <w:top w:w="10" w:type="dxa"/>
              <w:left w:w="10" w:type="dxa"/>
              <w:right w:w="10" w:type="dxa"/>
            </w:tcMar>
            <w:vAlign w:val="top"/>
          </w:tcPr>
          <w:p>
            <w:pPr>
              <w:spacing w:line="320" w:lineRule="exact"/>
              <w:ind w:firstLine="198" w:firstLineChars="100"/>
              <w:rPr>
                <w:rFonts w:ascii="宋体" w:hAnsi="宋体" w:cs="宋体"/>
                <w:color w:val="auto"/>
                <w:szCs w:val="21"/>
                <w:highlight w:val="none"/>
              </w:rPr>
            </w:pPr>
            <w:r>
              <w:rPr>
                <w:rFonts w:hint="eastAsia" w:ascii="宋体" w:hAnsi="宋体" w:cs="宋体"/>
                <w:color w:val="auto"/>
                <w:spacing w:val="-6"/>
                <w:szCs w:val="21"/>
                <w:highlight w:val="none"/>
              </w:rPr>
              <w:t>指用于连续或断续生产制造过程中</w:t>
            </w:r>
            <w:r>
              <w:rPr>
                <w:rFonts w:ascii="宋体" w:hAnsi="宋体" w:cs="宋体"/>
                <w:color w:val="auto"/>
                <w:spacing w:val="-6"/>
                <w:szCs w:val="21"/>
                <w:highlight w:val="none"/>
                <w:lang w:val="en"/>
              </w:rPr>
              <w:t>，</w:t>
            </w:r>
            <w:r>
              <w:rPr>
                <w:rFonts w:hint="eastAsia" w:ascii="宋体" w:hAnsi="宋体" w:cs="宋体"/>
                <w:color w:val="auto"/>
                <w:spacing w:val="-6"/>
                <w:szCs w:val="21"/>
                <w:highlight w:val="none"/>
              </w:rPr>
              <w:t>测量和控制生产制造过程的温度、压力、流量、物位等变量或者物体位置、倾斜、旋转等参数的工业用计算机控制系统、检测仪表、执行机构和装置的制造</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4011 工业自动控制系统装置制造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汉仪叶叶相思体简" w:hAnsi="汉仪叶叶相思体简" w:eastAsia="汉仪叶叶相思体简" w:cs="汉仪叶叶相思体简"/>
                <w:b/>
                <w:bCs/>
                <w:color w:val="auto"/>
                <w:szCs w:val="21"/>
                <w:highlight w:val="none"/>
              </w:rPr>
              <w:t>★</w:t>
            </w:r>
            <w:r>
              <w:rPr>
                <w:rFonts w:hint="eastAsia" w:ascii="宋体" w:hAnsi="宋体" w:cs="宋体"/>
                <w:b/>
                <w:bCs/>
                <w:color w:val="auto"/>
                <w:szCs w:val="21"/>
                <w:highlight w:val="none"/>
              </w:rPr>
              <w:t>02</w:t>
            </w: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数字产品服务业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020</w:t>
            </w:r>
            <w:r>
              <w:rPr>
                <w:rFonts w:hint="eastAsia" w:ascii="宋体" w:hAnsi="宋体" w:cs="宋体"/>
                <w:b/>
                <w:bCs/>
                <w:color w:val="auto"/>
                <w:szCs w:val="21"/>
                <w:highlight w:val="none"/>
              </w:rPr>
              <w:t>1</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数字产品批发</w:t>
            </w:r>
          </w:p>
        </w:tc>
        <w:tc>
          <w:tcPr>
            <w:tcW w:w="3515" w:type="dxa"/>
            <w:noWrap w:val="0"/>
            <w:tcMar>
              <w:top w:w="10" w:type="dxa"/>
              <w:left w:w="10" w:type="dxa"/>
              <w:right w:w="10" w:type="dxa"/>
            </w:tcMar>
            <w:vAlign w:val="center"/>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center"/>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1</w:t>
            </w:r>
            <w:r>
              <w:rPr>
                <w:rFonts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计算机、软件及辅助设备批发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指各类计算机、软件及辅助设备的批发和进出口活动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5176 计算机、软件及辅助设备批发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1</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通讯设备批发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指各类电信设备的批发和进出口活动</w:t>
            </w:r>
          </w:p>
        </w:tc>
        <w:tc>
          <w:tcPr>
            <w:tcW w:w="1935" w:type="dxa"/>
            <w:noWrap w:val="0"/>
            <w:tcMar>
              <w:top w:w="10" w:type="dxa"/>
              <w:left w:w="10" w:type="dxa"/>
              <w:right w:w="10" w:type="dxa"/>
            </w:tcMar>
            <w:vAlign w:val="center"/>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5177 通讯设备批发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1</w:t>
            </w:r>
            <w:r>
              <w:rPr>
                <w:rFonts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广播影视设备批发</w:t>
            </w:r>
          </w:p>
        </w:tc>
        <w:tc>
          <w:tcPr>
            <w:tcW w:w="3515" w:type="dxa"/>
            <w:noWrap w:val="0"/>
            <w:tcMar>
              <w:top w:w="10" w:type="dxa"/>
              <w:left w:w="10" w:type="dxa"/>
              <w:right w:w="10" w:type="dxa"/>
            </w:tcMar>
            <w:vAlign w:val="center"/>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指各类广播影视设备的批发和进出口活动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5178 广播影视设备批发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020</w:t>
            </w:r>
            <w:r>
              <w:rPr>
                <w:rFonts w:hint="eastAsia" w:ascii="宋体" w:hAnsi="宋体" w:cs="宋体"/>
                <w:b/>
                <w:bCs/>
                <w:color w:val="auto"/>
                <w:szCs w:val="21"/>
                <w:highlight w:val="none"/>
              </w:rPr>
              <w:t>2</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数字产品零售</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020201</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计算机、软件及辅助设备零售</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指各类计算机、软件及辅助设备的零售活动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5273 计算机、软件及辅助设备零售</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020202</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通信设备零售</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指各类电信设备的</w:t>
            </w:r>
            <w:r>
              <w:rPr>
                <w:rFonts w:hint="eastAsia" w:ascii="宋体" w:hAnsi="宋体" w:cs="宋体"/>
                <w:bCs/>
                <w:color w:val="auto"/>
                <w:szCs w:val="21"/>
                <w:highlight w:val="none"/>
              </w:rPr>
              <w:t>零售</w:t>
            </w:r>
            <w:r>
              <w:rPr>
                <w:rFonts w:hint="eastAsia" w:ascii="宋体" w:hAnsi="宋体" w:cs="宋体"/>
                <w:color w:val="auto"/>
                <w:szCs w:val="21"/>
                <w:highlight w:val="none"/>
              </w:rPr>
              <w:t>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5274 通信设备零售</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020203</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音像制品、电子和数字出版物零售</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指各类音像制品及电子出版物的零售活动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5244 音像制品、电子和数字出版物零售</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020</w:t>
            </w:r>
            <w:r>
              <w:rPr>
                <w:rFonts w:hint="eastAsia" w:ascii="宋体" w:hAnsi="宋体" w:cs="宋体"/>
                <w:b/>
                <w:bCs/>
                <w:color w:val="auto"/>
                <w:szCs w:val="21"/>
                <w:highlight w:val="none"/>
              </w:rPr>
              <w:t>3</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数字产品租赁</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b/>
                <w:bCs/>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301</w:t>
            </w: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color w:val="auto"/>
                <w:szCs w:val="21"/>
                <w:highlight w:val="none"/>
              </w:rPr>
              <w:t xml:space="preserve">    计算机及通讯设备经营租赁</w:t>
            </w:r>
          </w:p>
        </w:tc>
        <w:tc>
          <w:tcPr>
            <w:tcW w:w="351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指各类计算机、通讯设备的租赁活动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7114 计算机及通讯设备经营租赁</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020302</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color w:val="auto"/>
                <w:szCs w:val="21"/>
                <w:highlight w:val="none"/>
              </w:rPr>
              <w:t xml:space="preserve">  音像制品出租</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指各种音像制品的出租活动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7125 音像制品出租</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020</w:t>
            </w:r>
            <w:r>
              <w:rPr>
                <w:rFonts w:hint="eastAsia" w:ascii="宋体" w:hAnsi="宋体" w:cs="宋体"/>
                <w:b/>
                <w:bCs/>
                <w:color w:val="auto"/>
                <w:szCs w:val="21"/>
                <w:highlight w:val="none"/>
              </w:rPr>
              <w:t>4</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数字产品维修</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4</w:t>
            </w:r>
            <w:r>
              <w:rPr>
                <w:rFonts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计算机和辅助设备修理</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指各类计算机和辅助设备的修理活动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8121 计算机和辅助设备修理</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020</w:t>
            </w:r>
            <w:r>
              <w:rPr>
                <w:rFonts w:hint="eastAsia" w:ascii="宋体" w:hAnsi="宋体" w:cs="宋体"/>
                <w:color w:val="auto"/>
                <w:kern w:val="0"/>
                <w:szCs w:val="21"/>
                <w:highlight w:val="none"/>
                <w:lang w:bidi="ar"/>
              </w:rPr>
              <w:t>4</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通讯设备修理</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指电话机、传真机和手机等通讯设备的修理活动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8122 通讯设备修理</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020</w:t>
            </w:r>
            <w:r>
              <w:rPr>
                <w:rFonts w:hint="eastAsia" w:ascii="宋体" w:hAnsi="宋体" w:cs="宋体"/>
                <w:b/>
                <w:bCs/>
                <w:color w:val="auto"/>
                <w:szCs w:val="21"/>
                <w:highlight w:val="none"/>
              </w:rPr>
              <w:t>5</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020500</w:t>
            </w: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其他数字产品服务业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指其他未列明数字产品服务业</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汉仪叶叶相思体简" w:hAnsi="汉仪叶叶相思体简" w:eastAsia="汉仪叶叶相思体简" w:cs="汉仪叶叶相思体简"/>
                <w:b/>
                <w:bCs/>
                <w:color w:val="auto"/>
                <w:szCs w:val="21"/>
                <w:highlight w:val="none"/>
              </w:rPr>
              <w:t>★</w:t>
            </w:r>
            <w:r>
              <w:rPr>
                <w:rFonts w:hint="eastAsia" w:ascii="宋体" w:hAnsi="宋体" w:cs="宋体"/>
                <w:b/>
                <w:bCs/>
                <w:color w:val="auto"/>
                <w:szCs w:val="21"/>
                <w:highlight w:val="none"/>
              </w:rPr>
              <w:t>03</w:t>
            </w: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数字技术应用业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0301</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软件开发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0301</w:t>
            </w:r>
            <w:r>
              <w:rPr>
                <w:rFonts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基础软件开发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指能够对硬件资源进行调度和管理、为应用软件提供运行支撑的软件的开发活动，包括操作系统、数据库、中间件、各类固件等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6511 基础软件开发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0301</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支撑软件开发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指软件开发过程中使用到的支撑软件开发的工具和集成环境、测试工具软件等的开发活动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6512 支撑软件开发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0301</w:t>
            </w:r>
            <w:r>
              <w:rPr>
                <w:rFonts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应用软件开发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指独立销售的面向应用需求和解决方案等软件的开发活动，包括通用软件、工业软件、行业软件、嵌入式应用软件等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6513 应用软件开发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0301</w:t>
            </w:r>
            <w:r>
              <w:rPr>
                <w:rFonts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其他软件开发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指其他未列明软件的开发活动，如平台软件、信息安全软件等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6519 其他软件开发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0302</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电信、广播电视和卫星传输服务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0302</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电信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指利用有线、无线的电磁系统或者光电系统，传送、发射或者接收语音、文字、数据、图像、视频以及其他任何形式信息的活动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6311 固定电信服务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6312 移动电信服务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6319 其他电信服务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0302</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广播电视传输服务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指利用有线广播电视网络及其信息传输分发交换接入服务和信号，以及利用无线广播电视传输覆盖网及其信息传输分发交换服务信号的传输服务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6321 有线广播电视传输服务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6322 无线广播电视传输服务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0302</w:t>
            </w:r>
            <w:r>
              <w:rPr>
                <w:rFonts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卫星传输服务</w:t>
            </w:r>
          </w:p>
        </w:tc>
        <w:tc>
          <w:tcPr>
            <w:tcW w:w="3515" w:type="dxa"/>
            <w:noWrap w:val="0"/>
            <w:tcMar>
              <w:top w:w="10" w:type="dxa"/>
              <w:left w:w="10" w:type="dxa"/>
              <w:right w:w="10" w:type="dxa"/>
            </w:tcMar>
            <w:vAlign w:val="top"/>
          </w:tcPr>
          <w:p>
            <w:pPr>
              <w:spacing w:line="320" w:lineRule="exact"/>
              <w:ind w:firstLine="202" w:firstLineChars="100"/>
              <w:rPr>
                <w:rFonts w:ascii="宋体" w:hAnsi="宋体" w:cs="宋体"/>
                <w:color w:val="auto"/>
                <w:szCs w:val="21"/>
                <w:highlight w:val="none"/>
              </w:rPr>
            </w:pPr>
            <w:r>
              <w:rPr>
                <w:rFonts w:hint="eastAsia" w:ascii="宋体" w:hAnsi="宋体" w:cs="宋体"/>
                <w:color w:val="auto"/>
                <w:spacing w:val="-4"/>
                <w:szCs w:val="21"/>
                <w:highlight w:val="none"/>
              </w:rPr>
              <w:t>指利用卫星提供通讯传输和广播电视传输服务，以及导航、定位、测绘、气象、地质勘查、空间信息等应用服务的活动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6331 广播电视卫星传输服务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6339 其他卫星传输服务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0303</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互联网相关服务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0303</w:t>
            </w:r>
            <w:r>
              <w:rPr>
                <w:rFonts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互联网接入及相关服务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指除基础电信运营商外，基于基础传输网络，为存储数据、数据处理及相关活动提供接入互联网的有关应用设施的服务活动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6410 互联网接入及相关服务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互联网搜索服务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指利用互联网查找、检索存储在其他站点上的信息的服务活动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6421 互联网搜索服务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互联网游戏服务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指各种互联网游戏服务活动，包括在线网络游戏、互联网电子竞技服务等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6422 互联网游戏服务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互联网资讯服务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指除基础电信运营商外，通过互联网提供网上新闻、网上新媒体、网上信息发布等信息服务的活动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8610*新闻业</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6429*互联网其他信息服务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hint="eastAsia"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互联网安全服务</w:t>
            </w:r>
          </w:p>
        </w:tc>
        <w:tc>
          <w:tcPr>
            <w:tcW w:w="3515" w:type="dxa"/>
            <w:noWrap w:val="0"/>
            <w:tcMar>
              <w:top w:w="10" w:type="dxa"/>
              <w:left w:w="10" w:type="dxa"/>
              <w:right w:w="10" w:type="dxa"/>
            </w:tcMar>
            <w:vAlign w:val="top"/>
          </w:tcPr>
          <w:p>
            <w:pPr>
              <w:spacing w:line="300" w:lineRule="exact"/>
              <w:ind w:firstLine="202" w:firstLineChars="100"/>
              <w:rPr>
                <w:rFonts w:ascii="宋体" w:hAnsi="宋体" w:cs="宋体"/>
                <w:color w:val="auto"/>
                <w:spacing w:val="-4"/>
                <w:szCs w:val="21"/>
                <w:highlight w:val="none"/>
              </w:rPr>
            </w:pPr>
            <w:r>
              <w:rPr>
                <w:rFonts w:hint="eastAsia" w:ascii="宋体" w:hAnsi="宋体" w:cs="宋体"/>
                <w:color w:val="auto"/>
                <w:spacing w:val="-4"/>
                <w:szCs w:val="21"/>
                <w:highlight w:val="none"/>
              </w:rPr>
              <w:t>指各种互联网安全服务活动，包括网络安全集成服务、网络安全运维服务、网络安全灾备服务、网络安全监测和应急服务、网络安全认证检测服务、网络安全风险评估服务、网络安全咨询服务、网络安全培训服务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6440 互联网安全服务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hint="eastAsia" w:ascii="宋体" w:hAnsi="宋体" w:cs="宋体"/>
                <w:color w:val="auto"/>
                <w:kern w:val="0"/>
                <w:szCs w:val="21"/>
                <w:highlight w:val="none"/>
                <w:lang w:bidi="ar"/>
              </w:rPr>
              <w:t>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互联网数据服务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指以互联网技术为基础的大数据处理、云存储、云计算、云加工、区块链等服务活动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6450 互联网数据服务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0303</w:t>
            </w:r>
            <w:r>
              <w:rPr>
                <w:rFonts w:hint="eastAsia" w:ascii="宋体" w:hAnsi="宋体" w:cs="宋体"/>
                <w:color w:val="auto"/>
                <w:kern w:val="0"/>
                <w:szCs w:val="21"/>
                <w:highlight w:val="none"/>
                <w:lang w:bidi="ar"/>
              </w:rPr>
              <w:t>07</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其他互联网相关服务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除基础电信运营商外，通过互联网提供网上音乐、网上视频、网上表演（直播）、网络动漫、网络艺术品等信息服务的活动，以及物联网服务、互联网资源写作服务、基于IPv6技术提供的网络平台服务等未列明的互联网服务活动。不包括互联网支付、互联网基金销售、互联网保险、互联网信托和互联网消费金融等互联网信息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6429*互联网其他信息服务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6490 其他互联网服务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r>
              <w:rPr>
                <w:rFonts w:ascii="宋体" w:hAnsi="宋体" w:cs="宋体"/>
                <w:b/>
                <w:bCs/>
                <w:color w:val="auto"/>
                <w:szCs w:val="21"/>
                <w:highlight w:val="none"/>
                <w:lang w:val="en"/>
              </w:rPr>
              <w:t>0304</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信息技术服务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集成电路设计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指企业开展的集成电路功能研发、设计等服务活动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6520 集成电路设计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信息系统集成服务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6531 信息系统集成服务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物联网技术服务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指提供各种物联网技术支持的服务活动，包括物联网信息感知技术服务、物联网信息传感技术服务、物联网数据通讯技术服务、物联网信息处理技术服务、物联网信息安全技术服务等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6532 物联网技术服务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运行维护服务</w:t>
            </w:r>
          </w:p>
          <w:p>
            <w:pPr>
              <w:spacing w:line="320" w:lineRule="exact"/>
              <w:ind w:firstLine="420" w:firstLineChars="200"/>
              <w:rPr>
                <w:rFonts w:ascii="宋体" w:hAnsi="宋体" w:cs="宋体"/>
                <w:color w:val="auto"/>
                <w:szCs w:val="21"/>
                <w:highlight w:val="none"/>
              </w:rPr>
            </w:pP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指各种运行维护服务活动，包括基础环境运行维护、网络运行维护、软件运行维护、硬件运行维护、局域网安装调试服务、局域网维护服务以及其他运行维护服务、网络技术支持服务等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6540 运行维护服务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信息处理和存储支持服务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指供方向需方提供的信息和数据的分析、整理、计算、编辑、存储等加工处理服务，以及应用软件、信息系统基础设施等租用服务，包括在线企业资源规划（ERP）、在线杀毒、服务器托管、虚拟主机等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6550 信息处理和存储支持服务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信息技术咨询服务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指在信息资源开发利用、工程建设、人员培训、管理体系建设、技术支撑等方面向需方提供的管理或技术咨询评估服务活动，包括信息化规划、信息技术管理咨询、信息系统工程监理、测试评估、信息技术培训等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6560 信息技术咨询服务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0304</w:t>
            </w:r>
            <w:r>
              <w:rPr>
                <w:rFonts w:hint="eastAsia" w:ascii="宋体" w:hAnsi="宋体" w:cs="宋体"/>
                <w:color w:val="auto"/>
                <w:kern w:val="0"/>
                <w:szCs w:val="21"/>
                <w:highlight w:val="none"/>
                <w:lang w:bidi="ar"/>
              </w:rPr>
              <w:t>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地理遥感信息及测绘地理信息服务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pacing w:val="-4"/>
                <w:szCs w:val="21"/>
                <w:highlight w:val="none"/>
              </w:rPr>
            </w:pPr>
            <w:r>
              <w:rPr>
                <w:rFonts w:hint="eastAsia" w:ascii="宋体" w:hAnsi="宋体" w:cs="宋体"/>
                <w:color w:val="auto"/>
                <w:szCs w:val="21"/>
                <w:highlight w:val="none"/>
              </w:rPr>
              <w:t>指各类地理遥感信息服务活动和遥感测绘服务活动，包括互联网地图服务软件、地理信息系统软件、测绘软件、遥感软件、导航与位置服务软件、地图制图软件等地理遥感信息服务，以及卫星定位测量、导航定位服务等遥感测绘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6571 地理遥感信息服务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7441 遥感测绘服务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7449 其他测绘地理信息服务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030408</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动漫、游戏及其他数字内容服务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指将动漫和游戏中的图片、文字、视频、音频等信息内容运用数字化技术进行加工、处理、制作并整合应用的服务活动，以及数字文化、数字体育等其他数字内容服务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6572 动漫、游戏数字内容服务</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6579 其他数字内容服务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030409</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其他信息技术服务业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指其他上述未列明的信息技术服务业，</w:t>
            </w:r>
            <w:r>
              <w:rPr>
                <w:rFonts w:ascii="宋体" w:hAnsi="宋体" w:cs="宋体"/>
                <w:color w:val="auto"/>
                <w:szCs w:val="21"/>
                <w:highlight w:val="none"/>
              </w:rPr>
              <w:t>包括</w:t>
            </w:r>
            <w:r>
              <w:rPr>
                <w:rFonts w:hint="eastAsia" w:ascii="宋体" w:hAnsi="宋体" w:cs="宋体"/>
                <w:color w:val="auto"/>
                <w:szCs w:val="21"/>
                <w:highlight w:val="none"/>
              </w:rPr>
              <w:t>电信呼叫服务、电话信息服务、计算机使用服务等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6591 呼叫中心</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6599 其他未列明信息技术服务业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030</w:t>
            </w:r>
            <w:r>
              <w:rPr>
                <w:rFonts w:hint="eastAsia" w:ascii="宋体" w:hAnsi="宋体" w:cs="宋体"/>
                <w:b/>
                <w:bCs/>
                <w:color w:val="auto"/>
                <w:szCs w:val="21"/>
                <w:highlight w:val="none"/>
              </w:rPr>
              <w:t>5</w:t>
            </w: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其他数字技术应用业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030</w:t>
            </w:r>
            <w:r>
              <w:rPr>
                <w:rFonts w:hint="eastAsia" w:ascii="宋体" w:hAnsi="宋体" w:cs="宋体"/>
                <w:color w:val="auto"/>
                <w:kern w:val="0"/>
                <w:szCs w:val="21"/>
                <w:highlight w:val="none"/>
                <w:lang w:bidi="ar"/>
              </w:rPr>
              <w:t>501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三维（3D）打印技术推广服务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指各类三维（3D）打印技术推广服务活动，包括3D打印服务、3D打印技术推广等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7517 三维（3D）打印技术推广服务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汉仪叶叶相思体简" w:hAnsi="汉仪叶叶相思体简" w:eastAsia="汉仪叶叶相思体简" w:cs="汉仪叶叶相思体简"/>
                <w:b/>
                <w:bCs/>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030502</w:t>
            </w: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w:t>
            </w:r>
            <w:r>
              <w:rPr>
                <w:rFonts w:hint="eastAsia" w:ascii="宋体" w:hAnsi="宋体" w:cs="宋体"/>
                <w:color w:val="auto"/>
                <w:szCs w:val="21"/>
                <w:highlight w:val="none"/>
              </w:rPr>
              <w:t xml:space="preserve"> 其他未列明数字技术应用业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指其他未列明的数字技术应用业</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汉仪叶叶相思体简" w:hAnsi="汉仪叶叶相思体简" w:eastAsia="汉仪叶叶相思体简" w:cs="汉仪叶叶相思体简"/>
                <w:b/>
                <w:bCs/>
                <w:color w:val="auto"/>
                <w:szCs w:val="21"/>
                <w:highlight w:val="none"/>
              </w:rPr>
              <w:t>★</w:t>
            </w:r>
            <w:r>
              <w:rPr>
                <w:rFonts w:hint="eastAsia" w:ascii="宋体" w:hAnsi="宋体" w:cs="宋体"/>
                <w:b/>
                <w:bCs/>
                <w:color w:val="auto"/>
                <w:szCs w:val="21"/>
                <w:highlight w:val="none"/>
              </w:rPr>
              <w:t>04</w:t>
            </w: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数字要素驱动业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hint="eastAsia" w:ascii="宋体" w:hAnsi="宋体" w:cs="宋体"/>
                <w:b/>
                <w:bCs/>
                <w:color w:val="auto"/>
                <w:szCs w:val="21"/>
                <w:highlight w:val="none"/>
              </w:rPr>
              <w:t>04</w:t>
            </w:r>
            <w:r>
              <w:rPr>
                <w:rFonts w:ascii="宋体" w:hAnsi="宋体" w:cs="宋体"/>
                <w:b/>
                <w:bCs/>
                <w:color w:val="auto"/>
                <w:szCs w:val="21"/>
                <w:highlight w:val="none"/>
              </w:rPr>
              <w:t>0</w:t>
            </w:r>
            <w:r>
              <w:rPr>
                <w:rFonts w:hint="eastAsia" w:ascii="宋体" w:hAnsi="宋体" w:cs="宋体"/>
                <w:b/>
                <w:bCs/>
                <w:color w:val="auto"/>
                <w:szCs w:val="21"/>
                <w:highlight w:val="none"/>
              </w:rPr>
              <w:t>1</w:t>
            </w: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互联网平台</w:t>
            </w:r>
          </w:p>
        </w:tc>
        <w:tc>
          <w:tcPr>
            <w:tcW w:w="3515" w:type="dxa"/>
            <w:noWrap w:val="0"/>
            <w:tcMar>
              <w:top w:w="10" w:type="dxa"/>
              <w:left w:w="10" w:type="dxa"/>
              <w:right w:w="10" w:type="dxa"/>
            </w:tcMar>
            <w:vAlign w:val="center"/>
          </w:tcPr>
          <w:p>
            <w:pPr>
              <w:spacing w:line="320" w:lineRule="exact"/>
              <w:ind w:firstLine="210" w:firstLineChars="100"/>
              <w:rPr>
                <w:rFonts w:ascii="宋体" w:hAnsi="宋体" w:cs="宋体"/>
                <w:b/>
                <w:bCs/>
                <w:color w:val="auto"/>
                <w:szCs w:val="21"/>
                <w:highlight w:val="none"/>
              </w:rPr>
            </w:pPr>
          </w:p>
        </w:tc>
        <w:tc>
          <w:tcPr>
            <w:tcW w:w="1935" w:type="dxa"/>
            <w:noWrap w:val="0"/>
            <w:tcMar>
              <w:top w:w="10" w:type="dxa"/>
              <w:left w:w="10" w:type="dxa"/>
              <w:right w:w="10" w:type="dxa"/>
            </w:tcMar>
            <w:vAlign w:val="top"/>
          </w:tcPr>
          <w:p>
            <w:pPr>
              <w:spacing w:line="320" w:lineRule="exact"/>
              <w:ind w:right="32" w:firstLine="210" w:firstLineChars="100"/>
              <w:rPr>
                <w:rFonts w:ascii="宋体" w:hAnsi="宋体" w:cs="宋体"/>
                <w:b/>
                <w:bCs/>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w:t>
            </w:r>
            <w:r>
              <w:rPr>
                <w:rFonts w:ascii="宋体" w:hAnsi="宋体" w:cs="宋体"/>
                <w:color w:val="auto"/>
                <w:kern w:val="0"/>
                <w:szCs w:val="21"/>
                <w:highlight w:val="none"/>
                <w:lang w:bidi="ar"/>
              </w:rPr>
              <w:t>0101</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互联网生产服务平台</w:t>
            </w:r>
          </w:p>
        </w:tc>
        <w:tc>
          <w:tcPr>
            <w:tcW w:w="3515" w:type="dxa"/>
            <w:noWrap w:val="0"/>
            <w:tcMar>
              <w:top w:w="10" w:type="dxa"/>
              <w:left w:w="10" w:type="dxa"/>
              <w:right w:w="10" w:type="dxa"/>
            </w:tcMar>
            <w:vAlign w:val="top"/>
          </w:tcPr>
          <w:p>
            <w:pPr>
              <w:spacing w:line="320" w:lineRule="exact"/>
              <w:ind w:firstLine="198" w:firstLineChars="100"/>
              <w:rPr>
                <w:rFonts w:ascii="宋体" w:hAnsi="宋体" w:cs="宋体"/>
                <w:color w:val="auto"/>
                <w:spacing w:val="-6"/>
                <w:szCs w:val="21"/>
                <w:highlight w:val="none"/>
              </w:rPr>
            </w:pPr>
            <w:r>
              <w:rPr>
                <w:rFonts w:hint="eastAsia" w:ascii="宋体" w:hAnsi="宋体" w:cs="宋体"/>
                <w:color w:val="auto"/>
                <w:spacing w:val="-6"/>
                <w:szCs w:val="21"/>
                <w:highlight w:val="none"/>
              </w:rPr>
              <w:t>指专门为生产服务提供第三方服务平台的互联网活动，包括工业互联网平台、</w:t>
            </w:r>
            <w:r>
              <w:rPr>
                <w:rFonts w:hint="eastAsia" w:ascii="宋体" w:hAnsi="宋体" w:cs="宋体"/>
                <w:color w:val="auto"/>
                <w:szCs w:val="21"/>
                <w:highlight w:val="none"/>
              </w:rPr>
              <w:t>互联网大宗商品交易平台、互联网货物运输平台等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6431 互联网生产服务平台</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w:t>
            </w:r>
            <w:r>
              <w:rPr>
                <w:rFonts w:ascii="宋体" w:hAnsi="宋体" w:cs="宋体"/>
                <w:color w:val="auto"/>
                <w:kern w:val="0"/>
                <w:szCs w:val="21"/>
                <w:highlight w:val="none"/>
                <w:lang w:bidi="ar"/>
              </w:rPr>
              <w:t>0102</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互联网生活服务平台</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指专门为居民生活服务提供第三方服务平台的互联网活动，包括互联网销售平台、互联网约车服务平台、在线旅游经营服务平台、互联网体育平台、互联网教育平台、互联网社交平台等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6432 互联网生活服务平台</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w:t>
            </w:r>
            <w:r>
              <w:rPr>
                <w:rFonts w:ascii="宋体" w:hAnsi="宋体" w:cs="宋体"/>
                <w:color w:val="auto"/>
                <w:kern w:val="0"/>
                <w:szCs w:val="21"/>
                <w:highlight w:val="none"/>
                <w:lang w:bidi="ar"/>
              </w:rPr>
              <w:t>0103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互联网科技创新平台</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指专门为科技创新、创业等提供第三方服务平台的互联网活动，包括网络众创平台、网络众包平台、网络众扶平台、技术创新网络平台、科技成果网络推广平台、知识产权交易平台、开源社区平台等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6433 互联网科技创新平台</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w:t>
            </w:r>
            <w:r>
              <w:rPr>
                <w:rFonts w:ascii="宋体" w:hAnsi="宋体" w:cs="宋体"/>
                <w:color w:val="auto"/>
                <w:kern w:val="0"/>
                <w:szCs w:val="21"/>
                <w:highlight w:val="none"/>
                <w:lang w:bidi="ar"/>
              </w:rPr>
              <w:t>0104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互联网公共服务平台</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指专门为公共服务提供第三方服务平台的互联网活动，包括互联网政务平台、互联网公共安全服务平台、互联网环境保护平台、互联网数据平台等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6434 互联网公共服务平台</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w:t>
            </w:r>
            <w:r>
              <w:rPr>
                <w:rFonts w:ascii="宋体" w:hAnsi="宋体" w:cs="宋体"/>
                <w:color w:val="auto"/>
                <w:kern w:val="0"/>
                <w:szCs w:val="21"/>
                <w:highlight w:val="none"/>
                <w:lang w:bidi="ar"/>
              </w:rPr>
              <w:t>0105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其他互联网平台</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指其他未列明的互联网平台</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6439 其他互联网平台</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hint="eastAsia" w:ascii="宋体" w:hAnsi="宋体" w:cs="宋体"/>
                <w:b/>
                <w:bCs/>
                <w:color w:val="auto"/>
                <w:szCs w:val="21"/>
                <w:highlight w:val="none"/>
              </w:rPr>
              <w:t>04</w:t>
            </w:r>
            <w:r>
              <w:rPr>
                <w:rFonts w:ascii="宋体" w:hAnsi="宋体" w:cs="宋体"/>
                <w:b/>
                <w:bCs/>
                <w:color w:val="auto"/>
                <w:szCs w:val="21"/>
                <w:highlight w:val="none"/>
              </w:rPr>
              <w:t>0</w:t>
            </w:r>
            <w:r>
              <w:rPr>
                <w:rFonts w:hint="eastAsia" w:ascii="宋体" w:hAnsi="宋体" w:cs="宋体"/>
                <w:b/>
                <w:bCs/>
                <w:color w:val="auto"/>
                <w:szCs w:val="21"/>
                <w:highlight w:val="none"/>
              </w:rPr>
              <w:t>2</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互联网批发零售</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040201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color w:val="auto"/>
                <w:szCs w:val="21"/>
                <w:highlight w:val="none"/>
              </w:rPr>
              <w:t xml:space="preserve">  互联网批发</w:t>
            </w:r>
          </w:p>
        </w:tc>
        <w:tc>
          <w:tcPr>
            <w:tcW w:w="3515" w:type="dxa"/>
            <w:noWrap w:val="0"/>
            <w:tcMar>
              <w:top w:w="10" w:type="dxa"/>
              <w:left w:w="10" w:type="dxa"/>
              <w:right w:w="10" w:type="dxa"/>
            </w:tcMar>
            <w:vAlign w:val="top"/>
          </w:tcPr>
          <w:p>
            <w:pPr>
              <w:spacing w:line="320" w:lineRule="exact"/>
              <w:ind w:firstLine="202" w:firstLineChars="100"/>
              <w:rPr>
                <w:rFonts w:ascii="宋体" w:hAnsi="宋体" w:cs="宋体"/>
                <w:color w:val="auto"/>
                <w:szCs w:val="21"/>
                <w:highlight w:val="none"/>
              </w:rPr>
            </w:pPr>
            <w:r>
              <w:rPr>
                <w:rFonts w:hint="eastAsia" w:ascii="宋体" w:hAnsi="宋体" w:cs="宋体"/>
                <w:color w:val="auto"/>
                <w:spacing w:val="-4"/>
                <w:szCs w:val="21"/>
                <w:highlight w:val="none"/>
              </w:rPr>
              <w:t>指批发商主要通过互联网电子商务平台开展的商品批发活动</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5193 互联网批发</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040202</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color w:val="auto"/>
                <w:szCs w:val="21"/>
                <w:highlight w:val="none"/>
              </w:rPr>
              <w:t xml:space="preserve">  互联网零售</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指零售商通过电子商务平台开展的零售活动。不包括仅提供网络支付的活动，以及仅建立或提供网络交易平台和接入的活动</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5292</w:t>
            </w:r>
            <w:r>
              <w:rPr>
                <w:rFonts w:ascii="宋体" w:hAnsi="宋体" w:cs="宋体"/>
                <w:color w:val="auto"/>
                <w:szCs w:val="21"/>
                <w:highlight w:val="none"/>
              </w:rPr>
              <w:t xml:space="preserve"> </w:t>
            </w:r>
            <w:r>
              <w:rPr>
                <w:rFonts w:hint="eastAsia" w:ascii="宋体" w:hAnsi="宋体" w:cs="宋体"/>
                <w:color w:val="auto"/>
                <w:szCs w:val="21"/>
                <w:highlight w:val="none"/>
              </w:rPr>
              <w:t>互联网零售</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r>
              <w:rPr>
                <w:rFonts w:ascii="宋体" w:hAnsi="宋体" w:cs="宋体"/>
                <w:b/>
                <w:bCs/>
                <w:color w:val="auto"/>
                <w:szCs w:val="21"/>
                <w:highlight w:val="none"/>
                <w:lang w:val="en"/>
              </w:rPr>
              <w:t>0403</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b/>
                <w:bCs/>
                <w:color w:val="auto"/>
                <w:szCs w:val="21"/>
                <w:highlight w:val="none"/>
              </w:rPr>
              <w:t>互联网金融</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0403</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网络借贷服务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指依法成立</w:t>
            </w:r>
            <w:r>
              <w:rPr>
                <w:rFonts w:ascii="宋体" w:hAnsi="宋体" w:cs="宋体"/>
                <w:color w:val="auto"/>
                <w:szCs w:val="21"/>
                <w:highlight w:val="none"/>
                <w:lang w:val="en"/>
              </w:rPr>
              <w:t>，</w:t>
            </w:r>
            <w:r>
              <w:rPr>
                <w:rFonts w:hint="eastAsia" w:ascii="宋体" w:hAnsi="宋体" w:cs="宋体"/>
                <w:color w:val="auto"/>
                <w:szCs w:val="21"/>
                <w:highlight w:val="none"/>
              </w:rPr>
              <w:t>专门从事网络借贷信息中介业务活动的金融信息中介公司通过互联网平台实现的直接借贷</w:t>
            </w:r>
            <w:r>
              <w:rPr>
                <w:rFonts w:hint="eastAsia" w:ascii="宋体" w:hAnsi="宋体" w:cs="宋体"/>
                <w:color w:val="auto"/>
                <w:szCs w:val="21"/>
                <w:highlight w:val="none"/>
                <w:lang w:val="en"/>
              </w:rPr>
              <w:t>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6637 网络借贷服务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0403</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200"/>
              <w:rPr>
                <w:rFonts w:ascii="宋体" w:hAnsi="宋体" w:cs="宋体"/>
                <w:color w:val="auto"/>
                <w:szCs w:val="21"/>
                <w:highlight w:val="none"/>
              </w:rPr>
            </w:pPr>
            <w:r>
              <w:rPr>
                <w:rFonts w:hint="eastAsia" w:ascii="宋体" w:hAnsi="宋体" w:cs="宋体"/>
                <w:color w:val="auto"/>
                <w:szCs w:val="21"/>
                <w:highlight w:val="none"/>
              </w:rPr>
              <w:t xml:space="preserve">  非金融机构支付服务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指非金融机构在收付款人之间作为中介机构提供的货币资金转移服务</w:t>
            </w:r>
            <w:r>
              <w:rPr>
                <w:rFonts w:ascii="宋体" w:hAnsi="宋体" w:cs="宋体"/>
                <w:color w:val="auto"/>
                <w:szCs w:val="21"/>
                <w:highlight w:val="none"/>
                <w:lang w:val="en"/>
              </w:rPr>
              <w:t>，</w:t>
            </w:r>
            <w:r>
              <w:rPr>
                <w:rFonts w:hint="eastAsia" w:ascii="宋体" w:hAnsi="宋体" w:cs="宋体"/>
                <w:color w:val="auto"/>
                <w:szCs w:val="21"/>
                <w:highlight w:val="none"/>
              </w:rPr>
              <w:t>包括第三方支付机构从事的互联网支付、预付卡的发行与受理、银行卡收单以及中国人民银行确定的其他支付等服务</w:t>
            </w:r>
          </w:p>
        </w:tc>
        <w:tc>
          <w:tcPr>
            <w:tcW w:w="1935" w:type="dxa"/>
            <w:noWrap w:val="0"/>
            <w:tcMar>
              <w:top w:w="10" w:type="dxa"/>
              <w:left w:w="10" w:type="dxa"/>
              <w:right w:w="10" w:type="dxa"/>
            </w:tcMar>
            <w:vAlign w:val="top"/>
          </w:tcPr>
          <w:p>
            <w:pPr>
              <w:spacing w:line="320" w:lineRule="exact"/>
              <w:ind w:firstLine="200"/>
              <w:rPr>
                <w:rFonts w:ascii="宋体" w:hAnsi="宋体" w:cs="宋体"/>
                <w:color w:val="auto"/>
                <w:szCs w:val="21"/>
                <w:highlight w:val="none"/>
              </w:rPr>
            </w:pPr>
            <w:r>
              <w:rPr>
                <w:rFonts w:hint="eastAsia" w:ascii="宋体" w:hAnsi="宋体" w:cs="宋体"/>
                <w:color w:val="auto"/>
                <w:szCs w:val="21"/>
                <w:highlight w:val="none"/>
              </w:rPr>
              <w:t>6930 非金融机构支付服务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0403</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金融信息服务</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指向从事金融分析、金融交易、金融决策或者其他金融活动的用户提供可能影响金融市场的信息（或者金融数据）的服务</w:t>
            </w:r>
            <w:r>
              <w:rPr>
                <w:rFonts w:ascii="宋体" w:hAnsi="宋体" w:cs="宋体"/>
                <w:color w:val="auto"/>
                <w:szCs w:val="21"/>
                <w:highlight w:val="none"/>
                <w:lang w:val="en"/>
              </w:rPr>
              <w:t>，</w:t>
            </w:r>
            <w:r>
              <w:rPr>
                <w:rFonts w:hint="eastAsia" w:ascii="宋体" w:hAnsi="宋体" w:cs="宋体"/>
                <w:color w:val="auto"/>
                <w:szCs w:val="21"/>
                <w:highlight w:val="none"/>
              </w:rPr>
              <w:t>包括征信机构服务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6940 金融信息服务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0404</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数字内容与媒体</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广播</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指广播节目的现场制作、播放及其他相关活动，包括互联网广播</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8710 广播</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电视</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指有线和无线电视节目的现场制作、播放及其他相关活动，包括互联网电视</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8720 电视</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影视节目制作</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指电影、电视、录像（含以磁带、光盘为载体）和网络节目的制作活动，以及影视节目的后期制作。不包括电视台制作节目的活动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8730 影视节目制作</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广播电视集成播控</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kern w:val="0"/>
                <w:szCs w:val="21"/>
                <w:highlight w:val="none"/>
                <w:lang w:bidi="ar"/>
              </w:rPr>
              <w:t>指交互式网络电视（IPTV）、手机电视、互联网电视（OTT）等专网及定向传播视听节目服务的集成播控活动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8740 广播电视集成播控</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电影和广播电视节目发行</w:t>
            </w:r>
          </w:p>
        </w:tc>
        <w:tc>
          <w:tcPr>
            <w:tcW w:w="3515" w:type="dxa"/>
            <w:noWrap w:val="0"/>
            <w:tcMar>
              <w:top w:w="10" w:type="dxa"/>
              <w:left w:w="10" w:type="dxa"/>
              <w:right w:w="10" w:type="dxa"/>
            </w:tcMar>
            <w:vAlign w:val="top"/>
          </w:tcPr>
          <w:p>
            <w:pPr>
              <w:spacing w:line="3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指电影和影视节目的发行活动。不包括录像制品（以磁带、光盘为载体）的发行</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8750 电影和广播电视节目发行</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06</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电影放映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指专业电影院以及设在娱乐场所独立（或相对独立）的电影放映等活动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8760 电影放映</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ascii="宋体" w:hAnsi="宋体" w:cs="宋体"/>
                <w:color w:val="auto"/>
                <w:kern w:val="0"/>
                <w:szCs w:val="21"/>
                <w:highlight w:val="none"/>
                <w:lang w:bidi="ar"/>
              </w:rPr>
              <w:t>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录音制作</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指可以在广播电台播放，或者制作成出版、销售的原版录音带（磁带或光盘），或者在其他宣传场合播放的录音节目的制作活动。不包括广播电台制作节目的活动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8770 录音制作</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hint="eastAsia" w:ascii="宋体" w:hAnsi="宋体" w:cs="宋体"/>
                <w:color w:val="auto"/>
                <w:kern w:val="0"/>
                <w:szCs w:val="21"/>
                <w:highlight w:val="none"/>
                <w:lang w:bidi="ar"/>
              </w:rPr>
              <w:t>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数字内容出版</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指各类录音制品、电子出版物，以及利用数字技术进行内容编辑加工、并通过网络传播数字内容产品的出版服务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8624 音像制品出版</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8625 电子出版物出版</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8626 数字出版</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0404</w:t>
            </w:r>
            <w:r>
              <w:rPr>
                <w:rFonts w:hint="eastAsia" w:ascii="宋体" w:hAnsi="宋体" w:cs="宋体"/>
                <w:color w:val="auto"/>
                <w:kern w:val="0"/>
                <w:szCs w:val="21"/>
                <w:highlight w:val="none"/>
                <w:lang w:bidi="ar"/>
              </w:rPr>
              <w:t>09</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数字广告</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指在互联网平台投放，以广告横幅、文本链接、多媒体等形式，为外部客户提供宣传推广服务的活动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7251 互联网广告服务</w:t>
            </w:r>
          </w:p>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lang w:val="en"/>
              </w:rPr>
            </w:pPr>
            <w:r>
              <w:rPr>
                <w:rFonts w:ascii="宋体" w:hAnsi="宋体" w:cs="宋体"/>
                <w:b/>
                <w:bCs/>
                <w:color w:val="auto"/>
                <w:szCs w:val="21"/>
                <w:highlight w:val="none"/>
                <w:lang w:val="en"/>
              </w:rPr>
              <w:t>0405</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b/>
                <w:bCs/>
                <w:color w:val="auto"/>
                <w:szCs w:val="21"/>
                <w:highlight w:val="none"/>
              </w:rPr>
              <w:t>信息基础设施建设</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0405</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网络基础设施建设</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指光缆、微波、卫星、移动通信、工业互联网、物联网、5G等网络基础设施的建设活动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4851*架线及设备工程建筑</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4910*电气安装</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0405</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新技术基础设施建设</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指人工智能、云计算、区块链等新技术基础设施的建设活动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4851*架线及设备工程建筑</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4910*电气安装</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0405</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算力基础设施建设</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指以数据服务器、运算中心、数据存储阵列等为核心，实现数据信息的计算、存储、传递、加速、展示等功能的数据中心、智能计算中心等算力基础设施的建设活动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4790*其他房屋建筑业</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4851*架线及设备工程建筑</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4910*电气安装</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4999*其他建筑安装</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0405</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其他信息基础设施建设</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指上述未列明的其他信息基础设施的建设活动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r>
              <w:rPr>
                <w:rFonts w:ascii="宋体" w:hAnsi="宋体" w:cs="宋体"/>
                <w:b/>
                <w:bCs/>
                <w:color w:val="auto"/>
                <w:szCs w:val="21"/>
                <w:highlight w:val="none"/>
                <w:lang w:val="en"/>
              </w:rPr>
              <w:t>040</w:t>
            </w:r>
            <w:r>
              <w:rPr>
                <w:rFonts w:hint="eastAsia" w:ascii="宋体" w:hAnsi="宋体" w:cs="宋体"/>
                <w:b/>
                <w:bCs/>
                <w:color w:val="auto"/>
                <w:szCs w:val="21"/>
                <w:highlight w:val="none"/>
              </w:rPr>
              <w:t>6</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b/>
                <w:bCs/>
                <w:color w:val="auto"/>
                <w:kern w:val="0"/>
                <w:szCs w:val="21"/>
                <w:highlight w:val="none"/>
                <w:lang w:val="en" w:bidi="ar"/>
              </w:rPr>
              <w:t>040</w:t>
            </w:r>
            <w:r>
              <w:rPr>
                <w:rFonts w:hint="eastAsia" w:ascii="宋体" w:hAnsi="宋体" w:cs="宋体"/>
                <w:b/>
                <w:bCs/>
                <w:color w:val="auto"/>
                <w:kern w:val="0"/>
                <w:szCs w:val="21"/>
                <w:highlight w:val="none"/>
                <w:lang w:bidi="ar"/>
              </w:rPr>
              <w:t>600</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b/>
                <w:bCs/>
                <w:color w:val="auto"/>
                <w:szCs w:val="21"/>
                <w:highlight w:val="none"/>
              </w:rPr>
              <w:t xml:space="preserve">  数据资源与产权交易</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指对数据资源与数字产权的交易活动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7213*资源与产权交易服务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lang w:val="en"/>
              </w:rPr>
            </w:pP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0407</w:t>
            </w:r>
          </w:p>
        </w:tc>
        <w:tc>
          <w:tcPr>
            <w:tcW w:w="825" w:type="dxa"/>
            <w:tcBorders>
              <w:top w:val="nil"/>
            </w:tcBorders>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tcBorders>
              <w:top w:val="nil"/>
            </w:tcBorders>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  其他数字要素驱动业</w:t>
            </w:r>
          </w:p>
        </w:tc>
        <w:tc>
          <w:tcPr>
            <w:tcW w:w="351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lang w:val="en"/>
              </w:rPr>
            </w:pP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tcBorders>
              <w:top w:val="nil"/>
            </w:tcBorders>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0407</w:t>
            </w:r>
            <w:r>
              <w:rPr>
                <w:rFonts w:hint="eastAsia" w:ascii="宋体" w:hAnsi="宋体" w:cs="宋体"/>
                <w:color w:val="auto"/>
                <w:kern w:val="0"/>
                <w:szCs w:val="21"/>
                <w:highlight w:val="none"/>
                <w:lang w:bidi="ar"/>
              </w:rPr>
              <w:t>01</w:t>
            </w:r>
          </w:p>
        </w:tc>
        <w:tc>
          <w:tcPr>
            <w:tcW w:w="1356" w:type="dxa"/>
            <w:tcBorders>
              <w:top w:val="nil"/>
            </w:tcBorders>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color w:val="auto"/>
                <w:szCs w:val="21"/>
                <w:highlight w:val="none"/>
              </w:rPr>
              <w:t xml:space="preserve">    供应链管理服务</w:t>
            </w:r>
          </w:p>
        </w:tc>
        <w:tc>
          <w:tcPr>
            <w:tcW w:w="351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基于现代信息技术对供应链中的物流、商流、信息流和资金流进行设计、规划、控制和优化，将单一、分散的订单管理、采购执行、报关退税、物流管理、资金融通、数据管理、贸易商务、结算等一体化整合的服务</w:t>
            </w:r>
          </w:p>
        </w:tc>
        <w:tc>
          <w:tcPr>
            <w:tcW w:w="193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7224 供应链管理服务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lang w:val="en"/>
              </w:rPr>
            </w:pP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tcBorders>
              <w:top w:val="nil"/>
            </w:tcBorders>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0407</w:t>
            </w:r>
            <w:r>
              <w:rPr>
                <w:rFonts w:hint="eastAsia" w:ascii="宋体" w:hAnsi="宋体" w:cs="宋体"/>
                <w:color w:val="auto"/>
                <w:kern w:val="0"/>
                <w:szCs w:val="21"/>
                <w:highlight w:val="none"/>
                <w:lang w:bidi="ar"/>
              </w:rPr>
              <w:t>02</w:t>
            </w:r>
          </w:p>
        </w:tc>
        <w:tc>
          <w:tcPr>
            <w:tcW w:w="1356" w:type="dxa"/>
            <w:tcBorders>
              <w:top w:val="nil"/>
            </w:tcBorders>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color w:val="auto"/>
                <w:szCs w:val="21"/>
                <w:highlight w:val="none"/>
              </w:rPr>
              <w:t xml:space="preserve">    安全系统监控服务</w:t>
            </w:r>
          </w:p>
        </w:tc>
        <w:tc>
          <w:tcPr>
            <w:tcW w:w="351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指各类安全系统监控服务活动，包括消防报警系统监控服务、治安报警系统监控服务、交通安全系统监控服务和其他安全系统监控服务。不包括公安部门的活动和消防部门的活动</w:t>
            </w:r>
          </w:p>
        </w:tc>
        <w:tc>
          <w:tcPr>
            <w:tcW w:w="193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7272 安全系统监控服务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lang w:val="en"/>
              </w:rPr>
            </w:pP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tcBorders>
              <w:top w:val="nil"/>
            </w:tcBorders>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040703</w:t>
            </w:r>
          </w:p>
        </w:tc>
        <w:tc>
          <w:tcPr>
            <w:tcW w:w="1356" w:type="dxa"/>
            <w:tcBorders>
              <w:top w:val="nil"/>
            </w:tcBorders>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数字技术研究和试验发展</w:t>
            </w:r>
          </w:p>
        </w:tc>
        <w:tc>
          <w:tcPr>
            <w:tcW w:w="3515" w:type="dxa"/>
            <w:tcBorders>
              <w:top w:val="nil"/>
            </w:tcBorders>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指大数据、互联网、物联网、人工智能、VR/AR、边缘计算</w:t>
            </w:r>
            <w:r>
              <w:rPr>
                <w:rFonts w:hint="eastAsia" w:ascii="宋体" w:hAnsi="宋体" w:cs="宋体"/>
                <w:color w:val="auto"/>
                <w:kern w:val="0"/>
                <w:szCs w:val="21"/>
                <w:highlight w:val="none"/>
                <w:lang w:bidi="ar"/>
              </w:rPr>
              <w:t>、异构计算、工业视觉算法等新兴计算关键技术，SDN（软件定义网络）、网络切片等关键技术研究应用，以及量子通信和其他数字技术的研发</w:t>
            </w:r>
            <w:r>
              <w:rPr>
                <w:rFonts w:hint="eastAsia" w:ascii="宋体" w:hAnsi="宋体" w:cs="宋体"/>
                <w:color w:val="auto"/>
                <w:szCs w:val="21"/>
                <w:highlight w:val="none"/>
              </w:rPr>
              <w:t>与试验发展活动</w:t>
            </w:r>
          </w:p>
        </w:tc>
        <w:tc>
          <w:tcPr>
            <w:tcW w:w="193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7320*工程和技术研究和试验发展</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ascii="宋体" w:hAnsi="宋体" w:cs="宋体"/>
                <w:b/>
                <w:bCs/>
                <w:color w:val="auto"/>
                <w:szCs w:val="21"/>
                <w:highlight w:val="none"/>
                <w:lang w:val="en"/>
              </w:rPr>
              <w:t>0</w:t>
            </w:r>
            <w:r>
              <w:rPr>
                <w:rFonts w:hint="eastAsia" w:ascii="宋体" w:hAnsi="宋体" w:cs="宋体"/>
                <w:b/>
                <w:bCs/>
                <w:color w:val="auto"/>
                <w:szCs w:val="21"/>
                <w:highlight w:val="none"/>
              </w:rPr>
              <w:t>5</w:t>
            </w:r>
          </w:p>
        </w:tc>
        <w:tc>
          <w:tcPr>
            <w:tcW w:w="642" w:type="dxa"/>
            <w:tcBorders>
              <w:top w:val="nil"/>
            </w:tcBorders>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tcBorders>
              <w:top w:val="nil"/>
            </w:tcBorders>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tcBorders>
              <w:top w:val="nil"/>
            </w:tcBorders>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b/>
                <w:bCs/>
                <w:color w:val="auto"/>
                <w:szCs w:val="21"/>
                <w:highlight w:val="none"/>
              </w:rPr>
              <w:t>数字化效率提升业</w:t>
            </w:r>
          </w:p>
        </w:tc>
        <w:tc>
          <w:tcPr>
            <w:tcW w:w="351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tcBorders>
              <w:top w:val="nil"/>
            </w:tcBorders>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w:t>
            </w:r>
            <w:r>
              <w:rPr>
                <w:rFonts w:ascii="宋体" w:hAnsi="宋体" w:cs="宋体"/>
                <w:b/>
                <w:bCs/>
                <w:color w:val="auto"/>
                <w:szCs w:val="21"/>
                <w:highlight w:val="none"/>
              </w:rPr>
              <w:t>0</w:t>
            </w:r>
            <w:r>
              <w:rPr>
                <w:rFonts w:hint="eastAsia" w:ascii="宋体" w:hAnsi="宋体" w:cs="宋体"/>
                <w:b/>
                <w:bCs/>
                <w:color w:val="auto"/>
                <w:szCs w:val="21"/>
                <w:highlight w:val="none"/>
              </w:rPr>
              <w:t>1</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b/>
                <w:bCs/>
                <w:color w:val="auto"/>
                <w:szCs w:val="21"/>
                <w:highlight w:val="none"/>
              </w:rPr>
              <w:t>智慧农业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w:t>
            </w:r>
            <w:r>
              <w:rPr>
                <w:rFonts w:ascii="宋体" w:hAnsi="宋体" w:cs="宋体"/>
                <w:color w:val="auto"/>
                <w:kern w:val="0"/>
                <w:szCs w:val="21"/>
                <w:highlight w:val="none"/>
                <w:lang w:bidi="ar"/>
              </w:rPr>
              <w:t>0101</w:t>
            </w:r>
          </w:p>
        </w:tc>
        <w:tc>
          <w:tcPr>
            <w:tcW w:w="1356" w:type="dxa"/>
            <w:noWrap w:val="0"/>
            <w:tcMar>
              <w:top w:w="10" w:type="dxa"/>
              <w:left w:w="10" w:type="dxa"/>
              <w:right w:w="10" w:type="dxa"/>
            </w:tcMar>
            <w:vAlign w:val="top"/>
          </w:tcPr>
          <w:p>
            <w:pPr>
              <w:spacing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数字化设施种植</w:t>
            </w:r>
          </w:p>
        </w:tc>
        <w:tc>
          <w:tcPr>
            <w:tcW w:w="3515" w:type="dxa"/>
            <w:noWrap w:val="0"/>
            <w:tcMar>
              <w:top w:w="10" w:type="dxa"/>
              <w:left w:w="10" w:type="dxa"/>
              <w:right w:w="10" w:type="dxa"/>
            </w:tcMar>
            <w:vAlign w:val="top"/>
          </w:tcPr>
          <w:p>
            <w:pPr>
              <w:spacing w:line="320" w:lineRule="exact"/>
              <w:ind w:firstLine="222" w:firstLineChars="100"/>
              <w:rPr>
                <w:rFonts w:ascii="宋体" w:hAnsi="宋体" w:cs="宋体"/>
                <w:b/>
                <w:bCs/>
                <w:color w:val="auto"/>
                <w:szCs w:val="21"/>
                <w:highlight w:val="none"/>
              </w:rPr>
            </w:pPr>
            <w:r>
              <w:rPr>
                <w:rFonts w:hint="eastAsia" w:ascii="宋体" w:hAnsi="宋体" w:cs="宋体"/>
                <w:color w:val="auto"/>
                <w:spacing w:val="6"/>
                <w:szCs w:val="21"/>
                <w:highlight w:val="none"/>
              </w:rPr>
              <w:t>指精准播种、智能温室等利用遥感、地理信息系统、全球定位</w:t>
            </w:r>
            <w:r>
              <w:rPr>
                <w:rFonts w:ascii="宋体" w:hAnsi="宋体" w:cs="宋体"/>
                <w:color w:val="auto"/>
                <w:spacing w:val="6"/>
                <w:szCs w:val="21"/>
                <w:highlight w:val="none"/>
              </w:rPr>
              <w:t>系统</w:t>
            </w:r>
            <w:r>
              <w:rPr>
                <w:rFonts w:hint="eastAsia" w:ascii="宋体" w:hAnsi="宋体" w:cs="宋体"/>
                <w:color w:val="auto"/>
                <w:spacing w:val="6"/>
                <w:szCs w:val="21"/>
                <w:highlight w:val="none"/>
              </w:rPr>
              <w:t>、物联网</w:t>
            </w:r>
            <w:r>
              <w:rPr>
                <w:rFonts w:ascii="宋体" w:hAnsi="宋体" w:cs="宋体"/>
                <w:color w:val="auto"/>
                <w:spacing w:val="6"/>
                <w:szCs w:val="21"/>
                <w:highlight w:val="none"/>
              </w:rPr>
              <w:t>、</w:t>
            </w:r>
            <w:r>
              <w:rPr>
                <w:rFonts w:hint="eastAsia" w:ascii="宋体" w:hAnsi="宋体" w:cs="宋体"/>
                <w:color w:val="auto"/>
                <w:spacing w:val="6"/>
                <w:szCs w:val="21"/>
                <w:highlight w:val="none"/>
              </w:rPr>
              <w:t>人工智能</w:t>
            </w:r>
            <w:r>
              <w:rPr>
                <w:rFonts w:ascii="宋体" w:hAnsi="宋体" w:cs="宋体"/>
                <w:color w:val="auto"/>
                <w:spacing w:val="6"/>
                <w:szCs w:val="21"/>
                <w:highlight w:val="none"/>
              </w:rPr>
              <w:t>、</w:t>
            </w:r>
            <w:r>
              <w:rPr>
                <w:rFonts w:hint="eastAsia" w:ascii="宋体" w:hAnsi="宋体" w:cs="宋体"/>
                <w:color w:val="auto"/>
                <w:spacing w:val="6"/>
                <w:szCs w:val="21"/>
                <w:highlight w:val="none"/>
              </w:rPr>
              <w:t>大数据、云计算、无人机等现代</w:t>
            </w:r>
            <w:r>
              <w:rPr>
                <w:rFonts w:ascii="宋体" w:hAnsi="宋体" w:cs="宋体"/>
                <w:color w:val="auto"/>
                <w:spacing w:val="6"/>
                <w:szCs w:val="21"/>
                <w:highlight w:val="none"/>
              </w:rPr>
              <w:t>信息</w:t>
            </w:r>
            <w:r>
              <w:rPr>
                <w:rFonts w:hint="eastAsia" w:ascii="宋体" w:hAnsi="宋体" w:cs="宋体"/>
                <w:color w:val="auto"/>
                <w:spacing w:val="6"/>
                <w:szCs w:val="21"/>
                <w:highlight w:val="none"/>
              </w:rPr>
              <w:t>技术和</w:t>
            </w:r>
            <w:r>
              <w:rPr>
                <w:rFonts w:ascii="宋体" w:hAnsi="宋体" w:cs="宋体"/>
                <w:color w:val="auto"/>
                <w:spacing w:val="6"/>
                <w:szCs w:val="21"/>
                <w:highlight w:val="none"/>
              </w:rPr>
              <w:t>智能化设施</w:t>
            </w:r>
            <w:r>
              <w:rPr>
                <w:rFonts w:hint="eastAsia" w:ascii="宋体" w:hAnsi="宋体" w:cs="宋体"/>
                <w:color w:val="auto"/>
                <w:spacing w:val="6"/>
                <w:szCs w:val="21"/>
                <w:highlight w:val="none"/>
              </w:rPr>
              <w:t>，对土壤</w:t>
            </w:r>
            <w:r>
              <w:rPr>
                <w:rFonts w:ascii="宋体" w:hAnsi="宋体" w:cs="宋体"/>
                <w:color w:val="auto"/>
                <w:spacing w:val="6"/>
                <w:szCs w:val="21"/>
                <w:highlight w:val="none"/>
              </w:rPr>
              <w:t>、</w:t>
            </w:r>
            <w:r>
              <w:rPr>
                <w:rFonts w:hint="eastAsia" w:ascii="宋体" w:hAnsi="宋体" w:cs="宋体"/>
                <w:color w:val="auto"/>
                <w:spacing w:val="6"/>
                <w:szCs w:val="21"/>
                <w:highlight w:val="none"/>
              </w:rPr>
              <w:t>地形</w:t>
            </w:r>
            <w:r>
              <w:rPr>
                <w:rFonts w:ascii="宋体" w:hAnsi="宋体" w:cs="宋体"/>
                <w:color w:val="auto"/>
                <w:spacing w:val="6"/>
                <w:szCs w:val="21"/>
                <w:highlight w:val="none"/>
              </w:rPr>
              <w:t>、地貌、温度、湿度等</w:t>
            </w:r>
            <w:r>
              <w:rPr>
                <w:rFonts w:hint="eastAsia" w:ascii="宋体" w:hAnsi="宋体" w:cs="宋体"/>
                <w:color w:val="auto"/>
                <w:spacing w:val="6"/>
                <w:szCs w:val="21"/>
                <w:highlight w:val="none"/>
              </w:rPr>
              <w:t>农作物</w:t>
            </w:r>
            <w:r>
              <w:rPr>
                <w:rFonts w:ascii="宋体" w:hAnsi="宋体" w:cs="宋体"/>
                <w:color w:val="auto"/>
                <w:spacing w:val="6"/>
                <w:szCs w:val="21"/>
                <w:highlight w:val="none"/>
              </w:rPr>
              <w:t>生长环境</w:t>
            </w:r>
            <w:r>
              <w:rPr>
                <w:rFonts w:hint="eastAsia" w:ascii="宋体" w:hAnsi="宋体" w:cs="宋体"/>
                <w:color w:val="auto"/>
                <w:spacing w:val="6"/>
                <w:szCs w:val="21"/>
                <w:highlight w:val="none"/>
              </w:rPr>
              <w:t>信息进行</w:t>
            </w:r>
            <w:r>
              <w:rPr>
                <w:rFonts w:ascii="宋体" w:hAnsi="宋体" w:cs="宋体"/>
                <w:color w:val="auto"/>
                <w:spacing w:val="6"/>
                <w:szCs w:val="21"/>
                <w:highlight w:val="none"/>
              </w:rPr>
              <w:t>采集</w:t>
            </w:r>
            <w:r>
              <w:rPr>
                <w:rFonts w:hint="eastAsia" w:ascii="宋体" w:hAnsi="宋体" w:cs="宋体"/>
                <w:color w:val="auto"/>
                <w:spacing w:val="6"/>
                <w:szCs w:val="21"/>
                <w:highlight w:val="none"/>
              </w:rPr>
              <w:t>、</w:t>
            </w:r>
            <w:r>
              <w:rPr>
                <w:rFonts w:ascii="宋体" w:hAnsi="宋体" w:cs="宋体"/>
                <w:color w:val="auto"/>
                <w:spacing w:val="6"/>
                <w:szCs w:val="21"/>
                <w:highlight w:val="none"/>
              </w:rPr>
              <w:t>分析</w:t>
            </w:r>
            <w:r>
              <w:rPr>
                <w:rFonts w:hint="eastAsia" w:ascii="宋体" w:hAnsi="宋体" w:cs="宋体"/>
                <w:color w:val="auto"/>
                <w:spacing w:val="6"/>
                <w:szCs w:val="21"/>
                <w:highlight w:val="none"/>
              </w:rPr>
              <w:t>，实现精准控制和</w:t>
            </w:r>
            <w:r>
              <w:rPr>
                <w:rFonts w:ascii="宋体" w:hAnsi="宋体" w:cs="宋体"/>
                <w:color w:val="auto"/>
                <w:spacing w:val="6"/>
                <w:szCs w:val="21"/>
                <w:highlight w:val="none"/>
              </w:rPr>
              <w:t>监测</w:t>
            </w:r>
            <w:r>
              <w:rPr>
                <w:rFonts w:hint="eastAsia" w:ascii="宋体" w:hAnsi="宋体" w:cs="宋体"/>
                <w:color w:val="auto"/>
                <w:spacing w:val="6"/>
                <w:szCs w:val="21"/>
                <w:highlight w:val="none"/>
              </w:rPr>
              <w:t>的</w:t>
            </w:r>
            <w:r>
              <w:rPr>
                <w:rFonts w:ascii="宋体" w:hAnsi="宋体" w:cs="宋体"/>
                <w:color w:val="auto"/>
                <w:spacing w:val="6"/>
                <w:szCs w:val="21"/>
                <w:highlight w:val="none"/>
              </w:rPr>
              <w:t>农作物种植</w:t>
            </w:r>
            <w:r>
              <w:rPr>
                <w:rFonts w:hint="eastAsia" w:ascii="宋体" w:hAnsi="宋体" w:cs="宋体"/>
                <w:color w:val="auto"/>
                <w:spacing w:val="6"/>
                <w:szCs w:val="21"/>
                <w:highlight w:val="none"/>
              </w:rPr>
              <w:t>及</w:t>
            </w:r>
            <w:r>
              <w:rPr>
                <w:rFonts w:ascii="宋体" w:hAnsi="宋体" w:cs="宋体"/>
                <w:color w:val="auto"/>
                <w:spacing w:val="6"/>
                <w:szCs w:val="21"/>
                <w:highlight w:val="none"/>
              </w:rPr>
              <w:t>相关活动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01*  农业</w:t>
            </w:r>
          </w:p>
          <w:p>
            <w:pPr>
              <w:spacing w:line="320" w:lineRule="exact"/>
              <w:ind w:firstLine="210" w:firstLineChars="100"/>
              <w:jc w:val="left"/>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w:t>
            </w:r>
            <w:r>
              <w:rPr>
                <w:rFonts w:ascii="宋体" w:hAnsi="宋体" w:cs="宋体"/>
                <w:color w:val="auto"/>
                <w:kern w:val="0"/>
                <w:szCs w:val="21"/>
                <w:highlight w:val="none"/>
                <w:lang w:bidi="ar"/>
              </w:rPr>
              <w:t>010</w:t>
            </w:r>
            <w:r>
              <w:rPr>
                <w:rFonts w:hint="eastAsia" w:ascii="宋体" w:hAnsi="宋体" w:cs="宋体"/>
                <w:color w:val="auto"/>
                <w:kern w:val="0"/>
                <w:szCs w:val="21"/>
                <w:highlight w:val="none"/>
                <w:lang w:bidi="ar"/>
              </w:rPr>
              <w:t>2</w:t>
            </w:r>
          </w:p>
        </w:tc>
        <w:tc>
          <w:tcPr>
            <w:tcW w:w="1356" w:type="dxa"/>
            <w:noWrap w:val="0"/>
            <w:tcMar>
              <w:top w:w="10" w:type="dxa"/>
              <w:left w:w="10" w:type="dxa"/>
              <w:right w:w="10" w:type="dxa"/>
            </w:tcMar>
            <w:vAlign w:val="top"/>
          </w:tcPr>
          <w:p>
            <w:pPr>
              <w:spacing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数字林业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指利用遥感、地理信息系统、全球定位</w:t>
            </w:r>
            <w:r>
              <w:rPr>
                <w:rFonts w:ascii="宋体" w:hAnsi="宋体" w:cs="宋体"/>
                <w:color w:val="auto"/>
                <w:szCs w:val="21"/>
                <w:highlight w:val="none"/>
              </w:rPr>
              <w:t>系统</w:t>
            </w:r>
            <w:r>
              <w:rPr>
                <w:rFonts w:hint="eastAsia" w:ascii="宋体" w:hAnsi="宋体" w:cs="宋体"/>
                <w:color w:val="auto"/>
                <w:szCs w:val="21"/>
                <w:highlight w:val="none"/>
              </w:rPr>
              <w:t>、物联网</w:t>
            </w:r>
            <w:r>
              <w:rPr>
                <w:rFonts w:ascii="宋体" w:hAnsi="宋体" w:cs="宋体"/>
                <w:color w:val="auto"/>
                <w:szCs w:val="21"/>
                <w:highlight w:val="none"/>
              </w:rPr>
              <w:t>、</w:t>
            </w:r>
            <w:r>
              <w:rPr>
                <w:rFonts w:hint="eastAsia" w:ascii="宋体" w:hAnsi="宋体" w:cs="宋体"/>
                <w:color w:val="auto"/>
                <w:szCs w:val="21"/>
                <w:highlight w:val="none"/>
              </w:rPr>
              <w:t>无人机等现代</w:t>
            </w:r>
            <w:r>
              <w:rPr>
                <w:rFonts w:ascii="宋体" w:hAnsi="宋体" w:cs="宋体"/>
                <w:color w:val="auto"/>
                <w:szCs w:val="21"/>
                <w:highlight w:val="none"/>
              </w:rPr>
              <w:t>信息技术</w:t>
            </w:r>
            <w:r>
              <w:rPr>
                <w:rFonts w:hint="eastAsia" w:ascii="宋体" w:hAnsi="宋体" w:cs="宋体"/>
                <w:color w:val="auto"/>
                <w:szCs w:val="21"/>
                <w:highlight w:val="none"/>
              </w:rPr>
              <w:t>和</w:t>
            </w:r>
            <w:r>
              <w:rPr>
                <w:rFonts w:ascii="宋体" w:hAnsi="宋体" w:cs="宋体"/>
                <w:color w:val="auto"/>
                <w:szCs w:val="21"/>
                <w:highlight w:val="none"/>
              </w:rPr>
              <w:t>智能化设施</w:t>
            </w:r>
            <w:r>
              <w:rPr>
                <w:rFonts w:hint="eastAsia" w:ascii="宋体" w:hAnsi="宋体" w:cs="宋体"/>
                <w:color w:val="auto"/>
                <w:szCs w:val="21"/>
                <w:highlight w:val="none"/>
              </w:rPr>
              <w:t>，对土壤</w:t>
            </w:r>
            <w:r>
              <w:rPr>
                <w:rFonts w:ascii="宋体" w:hAnsi="宋体" w:cs="宋体"/>
                <w:color w:val="auto"/>
                <w:szCs w:val="21"/>
                <w:highlight w:val="none"/>
              </w:rPr>
              <w:t>、</w:t>
            </w:r>
            <w:r>
              <w:rPr>
                <w:rFonts w:hint="eastAsia" w:ascii="宋体" w:hAnsi="宋体" w:cs="宋体"/>
                <w:color w:val="auto"/>
                <w:szCs w:val="21"/>
                <w:highlight w:val="none"/>
              </w:rPr>
              <w:t>地形</w:t>
            </w:r>
            <w:r>
              <w:rPr>
                <w:rFonts w:ascii="宋体" w:hAnsi="宋体" w:cs="宋体"/>
                <w:color w:val="auto"/>
                <w:szCs w:val="21"/>
                <w:highlight w:val="none"/>
              </w:rPr>
              <w:t>、地貌、</w:t>
            </w:r>
            <w:r>
              <w:rPr>
                <w:rFonts w:hint="eastAsia" w:ascii="宋体" w:hAnsi="宋体" w:cs="宋体"/>
                <w:color w:val="auto"/>
                <w:szCs w:val="21"/>
                <w:highlight w:val="none"/>
              </w:rPr>
              <w:t>气候</w:t>
            </w:r>
            <w:r>
              <w:rPr>
                <w:rFonts w:ascii="宋体" w:hAnsi="宋体" w:cs="宋体"/>
                <w:color w:val="auto"/>
                <w:szCs w:val="21"/>
                <w:highlight w:val="none"/>
              </w:rPr>
              <w:t>、温度、湿度</w:t>
            </w:r>
            <w:r>
              <w:rPr>
                <w:rFonts w:hint="eastAsia" w:ascii="宋体" w:hAnsi="宋体" w:cs="宋体"/>
                <w:color w:val="auto"/>
                <w:szCs w:val="21"/>
                <w:highlight w:val="none"/>
              </w:rPr>
              <w:t>等林业</w:t>
            </w:r>
            <w:r>
              <w:rPr>
                <w:rFonts w:ascii="宋体" w:hAnsi="宋体" w:cs="宋体"/>
                <w:color w:val="auto"/>
                <w:szCs w:val="21"/>
                <w:highlight w:val="none"/>
              </w:rPr>
              <w:t>生长环境信息</w:t>
            </w:r>
            <w:r>
              <w:rPr>
                <w:rFonts w:hint="eastAsia" w:ascii="宋体" w:hAnsi="宋体" w:cs="宋体"/>
                <w:color w:val="auto"/>
                <w:szCs w:val="21"/>
                <w:highlight w:val="none"/>
              </w:rPr>
              <w:t>进行</w:t>
            </w:r>
            <w:r>
              <w:rPr>
                <w:rFonts w:ascii="宋体" w:hAnsi="宋体" w:cs="宋体"/>
                <w:color w:val="auto"/>
                <w:szCs w:val="21"/>
                <w:highlight w:val="none"/>
              </w:rPr>
              <w:t>采集、分析，</w:t>
            </w:r>
            <w:r>
              <w:rPr>
                <w:rFonts w:hint="eastAsia" w:ascii="宋体" w:hAnsi="宋体" w:cs="宋体"/>
                <w:color w:val="auto"/>
                <w:szCs w:val="21"/>
                <w:highlight w:val="none"/>
              </w:rPr>
              <w:t>实现</w:t>
            </w:r>
            <w:r>
              <w:rPr>
                <w:rFonts w:ascii="宋体" w:hAnsi="宋体" w:cs="宋体"/>
                <w:color w:val="auto"/>
                <w:szCs w:val="21"/>
                <w:highlight w:val="none"/>
              </w:rPr>
              <w:t>自动化、</w:t>
            </w:r>
            <w:r>
              <w:rPr>
                <w:rFonts w:hint="eastAsia" w:ascii="宋体" w:hAnsi="宋体" w:cs="宋体"/>
                <w:color w:val="auto"/>
                <w:szCs w:val="21"/>
                <w:highlight w:val="none"/>
              </w:rPr>
              <w:t>智能化的林业及</w:t>
            </w:r>
            <w:r>
              <w:rPr>
                <w:rFonts w:ascii="宋体" w:hAnsi="宋体" w:cs="宋体"/>
                <w:color w:val="auto"/>
                <w:szCs w:val="21"/>
                <w:highlight w:val="none"/>
              </w:rPr>
              <w:t>相关活动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02*  林业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w:t>
            </w:r>
            <w:r>
              <w:rPr>
                <w:rFonts w:ascii="宋体" w:hAnsi="宋体" w:cs="宋体"/>
                <w:color w:val="auto"/>
                <w:kern w:val="0"/>
                <w:szCs w:val="21"/>
                <w:highlight w:val="none"/>
                <w:lang w:bidi="ar"/>
              </w:rPr>
              <w:t>010</w:t>
            </w:r>
            <w:r>
              <w:rPr>
                <w:rFonts w:hint="eastAsia" w:ascii="宋体" w:hAnsi="宋体" w:cs="宋体"/>
                <w:color w:val="auto"/>
                <w:kern w:val="0"/>
                <w:szCs w:val="21"/>
                <w:highlight w:val="none"/>
                <w:lang w:bidi="ar"/>
              </w:rPr>
              <w:t>3</w:t>
            </w:r>
          </w:p>
        </w:tc>
        <w:tc>
          <w:tcPr>
            <w:tcW w:w="1356" w:type="dxa"/>
            <w:noWrap w:val="0"/>
            <w:tcMar>
              <w:top w:w="10" w:type="dxa"/>
              <w:left w:w="10" w:type="dxa"/>
              <w:right w:w="10" w:type="dxa"/>
            </w:tcMar>
            <w:vAlign w:val="top"/>
          </w:tcPr>
          <w:p>
            <w:pPr>
              <w:spacing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自动化养殖</w:t>
            </w:r>
          </w:p>
        </w:tc>
        <w:tc>
          <w:tcPr>
            <w:tcW w:w="3515" w:type="dxa"/>
            <w:noWrap w:val="0"/>
            <w:tcMar>
              <w:top w:w="10" w:type="dxa"/>
              <w:left w:w="10" w:type="dxa"/>
              <w:right w:w="10" w:type="dxa"/>
            </w:tcMar>
            <w:vAlign w:val="top"/>
          </w:tcPr>
          <w:p>
            <w:pPr>
              <w:spacing w:line="320" w:lineRule="exact"/>
              <w:ind w:firstLine="222" w:firstLineChars="100"/>
              <w:rPr>
                <w:rFonts w:ascii="宋体" w:hAnsi="宋体" w:cs="宋体"/>
                <w:color w:val="auto"/>
                <w:szCs w:val="21"/>
                <w:highlight w:val="none"/>
                <w:lang w:val="en"/>
              </w:rPr>
            </w:pPr>
            <w:r>
              <w:rPr>
                <w:rFonts w:hint="eastAsia" w:ascii="宋体" w:hAnsi="宋体" w:cs="宋体"/>
                <w:color w:val="auto"/>
                <w:spacing w:val="6"/>
                <w:szCs w:val="21"/>
                <w:highlight w:val="none"/>
              </w:rPr>
              <w:t>指利用</w:t>
            </w:r>
            <w:r>
              <w:rPr>
                <w:rFonts w:ascii="宋体" w:hAnsi="宋体" w:cs="宋体"/>
                <w:color w:val="auto"/>
                <w:spacing w:val="6"/>
                <w:szCs w:val="21"/>
                <w:highlight w:val="none"/>
                <w:lang w:val="en"/>
              </w:rPr>
              <w:t>RFID</w:t>
            </w:r>
            <w:r>
              <w:rPr>
                <w:rFonts w:hint="eastAsia" w:ascii="宋体" w:hAnsi="宋体" w:cs="宋体"/>
                <w:color w:val="auto"/>
                <w:spacing w:val="6"/>
                <w:szCs w:val="21"/>
                <w:highlight w:val="none"/>
                <w:lang w:val="en"/>
              </w:rPr>
              <w:t>射频识别、自动进食</w:t>
            </w:r>
            <w:r>
              <w:rPr>
                <w:rFonts w:hint="eastAsia" w:ascii="宋体" w:hAnsi="宋体" w:cs="宋体"/>
                <w:color w:val="auto"/>
                <w:spacing w:val="6"/>
                <w:szCs w:val="21"/>
                <w:highlight w:val="none"/>
              </w:rPr>
              <w:t>、</w:t>
            </w:r>
            <w:r>
              <w:rPr>
                <w:rFonts w:ascii="宋体" w:hAnsi="宋体" w:cs="宋体"/>
                <w:color w:val="auto"/>
                <w:spacing w:val="6"/>
                <w:szCs w:val="21"/>
                <w:highlight w:val="none"/>
              </w:rPr>
              <w:t>人工智能、</w:t>
            </w:r>
            <w:r>
              <w:rPr>
                <w:rFonts w:hint="eastAsia" w:ascii="宋体" w:hAnsi="宋体" w:cs="宋体"/>
                <w:color w:val="auto"/>
                <w:spacing w:val="6"/>
                <w:szCs w:val="21"/>
                <w:highlight w:val="none"/>
              </w:rPr>
              <w:t>大数据</w:t>
            </w:r>
            <w:r>
              <w:rPr>
                <w:rFonts w:ascii="宋体" w:hAnsi="宋体" w:cs="宋体"/>
                <w:color w:val="auto"/>
                <w:spacing w:val="6"/>
                <w:szCs w:val="21"/>
                <w:highlight w:val="none"/>
              </w:rPr>
              <w:t>、云计算等</w:t>
            </w:r>
            <w:r>
              <w:rPr>
                <w:rFonts w:hint="eastAsia" w:ascii="宋体" w:hAnsi="宋体" w:cs="宋体"/>
                <w:color w:val="auto"/>
                <w:spacing w:val="6"/>
                <w:szCs w:val="21"/>
                <w:highlight w:val="none"/>
              </w:rPr>
              <w:t>现代信息</w:t>
            </w:r>
            <w:r>
              <w:rPr>
                <w:rFonts w:ascii="宋体" w:hAnsi="宋体" w:cs="宋体"/>
                <w:color w:val="auto"/>
                <w:spacing w:val="6"/>
                <w:szCs w:val="21"/>
                <w:highlight w:val="none"/>
              </w:rPr>
              <w:t>技术</w:t>
            </w:r>
            <w:r>
              <w:rPr>
                <w:rFonts w:hint="eastAsia" w:ascii="宋体" w:hAnsi="宋体" w:cs="宋体"/>
                <w:color w:val="auto"/>
                <w:spacing w:val="6"/>
                <w:szCs w:val="21"/>
                <w:highlight w:val="none"/>
              </w:rPr>
              <w:t>，实现自动化</w:t>
            </w:r>
            <w:r>
              <w:rPr>
                <w:rFonts w:ascii="宋体" w:hAnsi="宋体" w:cs="宋体"/>
                <w:color w:val="auto"/>
                <w:spacing w:val="6"/>
                <w:szCs w:val="21"/>
                <w:highlight w:val="none"/>
              </w:rPr>
              <w:t>、智能化的畜牧业及相关活动，</w:t>
            </w:r>
            <w:r>
              <w:rPr>
                <w:rFonts w:hint="eastAsia" w:ascii="宋体" w:hAnsi="宋体" w:cs="宋体"/>
                <w:color w:val="auto"/>
                <w:spacing w:val="6"/>
                <w:szCs w:val="21"/>
                <w:highlight w:val="none"/>
              </w:rPr>
              <w:t>包括</w:t>
            </w:r>
            <w:r>
              <w:rPr>
                <w:rFonts w:ascii="宋体" w:hAnsi="宋体" w:cs="宋体"/>
                <w:color w:val="auto"/>
                <w:spacing w:val="6"/>
                <w:szCs w:val="21"/>
                <w:highlight w:val="none"/>
              </w:rPr>
              <w:t>牲畜</w:t>
            </w:r>
            <w:r>
              <w:rPr>
                <w:rFonts w:hint="eastAsia" w:ascii="宋体" w:hAnsi="宋体" w:cs="宋体"/>
                <w:color w:val="auto"/>
                <w:spacing w:val="6"/>
                <w:szCs w:val="21"/>
                <w:highlight w:val="none"/>
              </w:rPr>
              <w:t>饲养</w:t>
            </w:r>
            <w:r>
              <w:rPr>
                <w:rFonts w:ascii="宋体" w:hAnsi="宋体" w:cs="宋体"/>
                <w:color w:val="auto"/>
                <w:spacing w:val="6"/>
                <w:szCs w:val="21"/>
                <w:highlight w:val="none"/>
              </w:rPr>
              <w:t>、家禽饲养、</w:t>
            </w:r>
            <w:r>
              <w:rPr>
                <w:rFonts w:hint="eastAsia" w:ascii="宋体" w:hAnsi="宋体" w:cs="宋体"/>
                <w:color w:val="auto"/>
                <w:spacing w:val="6"/>
                <w:szCs w:val="21"/>
                <w:highlight w:val="none"/>
              </w:rPr>
              <w:t>水产养殖、畜禽粪污处理等活动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03*  畜牧业</w:t>
            </w:r>
          </w:p>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04*  渔业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w:t>
            </w:r>
            <w:r>
              <w:rPr>
                <w:rFonts w:ascii="宋体" w:hAnsi="宋体" w:cs="宋体"/>
                <w:color w:val="auto"/>
                <w:kern w:val="0"/>
                <w:szCs w:val="21"/>
                <w:highlight w:val="none"/>
                <w:lang w:bidi="ar"/>
              </w:rPr>
              <w:t>010</w:t>
            </w:r>
            <w:r>
              <w:rPr>
                <w:rFonts w:hint="eastAsia" w:ascii="宋体" w:hAnsi="宋体" w:cs="宋体"/>
                <w:color w:val="auto"/>
                <w:kern w:val="0"/>
                <w:szCs w:val="21"/>
                <w:highlight w:val="none"/>
                <w:lang w:bidi="ar"/>
              </w:rPr>
              <w:t>4</w:t>
            </w:r>
          </w:p>
        </w:tc>
        <w:tc>
          <w:tcPr>
            <w:tcW w:w="1356" w:type="dxa"/>
            <w:noWrap w:val="0"/>
            <w:tcMar>
              <w:top w:w="10" w:type="dxa"/>
              <w:left w:w="10" w:type="dxa"/>
              <w:right w:w="10" w:type="dxa"/>
            </w:tcMar>
            <w:vAlign w:val="top"/>
          </w:tcPr>
          <w:p>
            <w:pPr>
              <w:spacing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新技术</w:t>
            </w:r>
            <w:r>
              <w:rPr>
                <w:rFonts w:ascii="宋体" w:hAnsi="宋体" w:cs="宋体"/>
                <w:color w:val="auto"/>
                <w:szCs w:val="21"/>
                <w:highlight w:val="none"/>
              </w:rPr>
              <w:t>育种</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指应用数字化、信息化、智能化等手段开展的种子种苗培育、林木育种育苗、畜牧良种繁殖、鱼苗及育种场等活动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0211*林木育种</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0212*林木育苗</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0511*种子种苗培育活动</w:t>
            </w:r>
          </w:p>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0531*畜牧良种繁殖活动</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0541*鱼苗及鱼种场活动</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w:t>
            </w:r>
            <w:r>
              <w:rPr>
                <w:rFonts w:ascii="宋体" w:hAnsi="宋体" w:cs="宋体"/>
                <w:color w:val="auto"/>
                <w:kern w:val="0"/>
                <w:szCs w:val="21"/>
                <w:highlight w:val="none"/>
                <w:lang w:bidi="ar"/>
              </w:rPr>
              <w:t>010</w:t>
            </w:r>
            <w:r>
              <w:rPr>
                <w:rFonts w:hint="eastAsia" w:ascii="宋体" w:hAnsi="宋体" w:cs="宋体"/>
                <w:color w:val="auto"/>
                <w:kern w:val="0"/>
                <w:szCs w:val="21"/>
                <w:highlight w:val="none"/>
                <w:lang w:bidi="ar"/>
              </w:rPr>
              <w:t>5</w:t>
            </w:r>
          </w:p>
        </w:tc>
        <w:tc>
          <w:tcPr>
            <w:tcW w:w="1356" w:type="dxa"/>
            <w:noWrap w:val="0"/>
            <w:tcMar>
              <w:top w:w="10" w:type="dxa"/>
              <w:left w:w="10" w:type="dxa"/>
              <w:right w:w="10" w:type="dxa"/>
            </w:tcMar>
            <w:vAlign w:val="top"/>
          </w:tcPr>
          <w:p>
            <w:pPr>
              <w:spacing w:line="3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其他智慧农业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color w:val="auto"/>
                <w:szCs w:val="21"/>
                <w:highlight w:val="none"/>
              </w:rPr>
              <w:t>指利用物联网</w:t>
            </w:r>
            <w:r>
              <w:rPr>
                <w:rFonts w:ascii="宋体" w:hAnsi="宋体" w:cs="宋体"/>
                <w:color w:val="auto"/>
                <w:szCs w:val="21"/>
                <w:highlight w:val="none"/>
              </w:rPr>
              <w:t>、大数据</w:t>
            </w:r>
            <w:r>
              <w:rPr>
                <w:rFonts w:hint="eastAsia" w:ascii="宋体" w:hAnsi="宋体" w:cs="宋体"/>
                <w:color w:val="auto"/>
                <w:szCs w:val="21"/>
                <w:highlight w:val="none"/>
              </w:rPr>
              <w:t>、</w:t>
            </w:r>
            <w:r>
              <w:rPr>
                <w:rFonts w:ascii="宋体" w:hAnsi="宋体" w:cs="宋体"/>
                <w:color w:val="auto"/>
                <w:szCs w:val="21"/>
                <w:highlight w:val="none"/>
              </w:rPr>
              <w:t>互联网</w:t>
            </w:r>
            <w:r>
              <w:rPr>
                <w:rFonts w:hint="eastAsia" w:ascii="宋体" w:hAnsi="宋体" w:cs="宋体"/>
                <w:color w:val="auto"/>
                <w:szCs w:val="21"/>
                <w:highlight w:val="none"/>
              </w:rPr>
              <w:t>等现代</w:t>
            </w:r>
            <w:r>
              <w:rPr>
                <w:rFonts w:ascii="宋体" w:hAnsi="宋体" w:cs="宋体"/>
                <w:color w:val="auto"/>
                <w:szCs w:val="21"/>
                <w:highlight w:val="none"/>
              </w:rPr>
              <w:t>信息技术</w:t>
            </w:r>
            <w:r>
              <w:rPr>
                <w:rFonts w:hint="eastAsia" w:ascii="宋体" w:hAnsi="宋体" w:cs="宋体"/>
                <w:color w:val="auto"/>
                <w:szCs w:val="21"/>
                <w:highlight w:val="none"/>
              </w:rPr>
              <w:t>对农林牧渔业生产</w:t>
            </w:r>
            <w:r>
              <w:rPr>
                <w:rFonts w:ascii="宋体" w:hAnsi="宋体" w:cs="宋体"/>
                <w:color w:val="auto"/>
                <w:szCs w:val="21"/>
                <w:highlight w:val="none"/>
              </w:rPr>
              <w:t>经营进行管理的活动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05* 农、林、牧、渔专业及辅助性活动</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w:t>
            </w:r>
            <w:r>
              <w:rPr>
                <w:rFonts w:hint="eastAsia" w:ascii="宋体" w:hAnsi="宋体" w:cs="宋体"/>
                <w:b/>
                <w:bCs/>
                <w:color w:val="auto"/>
                <w:szCs w:val="21"/>
                <w:highlight w:val="none"/>
              </w:rPr>
              <w:t>02</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bCs/>
                <w:color w:val="auto"/>
                <w:szCs w:val="21"/>
                <w:highlight w:val="none"/>
              </w:rPr>
            </w:pPr>
            <w:r>
              <w:rPr>
                <w:rFonts w:hint="eastAsia" w:ascii="宋体" w:hAnsi="宋体" w:cs="宋体"/>
                <w:b/>
                <w:color w:val="auto"/>
                <w:szCs w:val="21"/>
                <w:highlight w:val="none"/>
              </w:rPr>
              <w:t>智能制造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050201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 xml:space="preserve">  数字化通用、专用设备制造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孪生、人工智能、5G、区块链、VR/AR、边缘计算、试验验证、仿真技术等技术和设备，在通用、专用设备领域开展的生产和制造活动，包括个性定制、柔性制造等新模式。不包括计算器及货币专用设备制造、工业机器人制造、特殊作业机器人制造、增材制造装备制造、半导体器件专用设备制造、电子元器件与机电组件设备制造</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34*  通用设备制造业</w:t>
            </w:r>
          </w:p>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35*  专用设备制造业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050202</w:t>
            </w: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 xml:space="preserve">  数字化运输设备制造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指利用数字孪生、人工智能、5G、区块链、VR/AR、边缘计算、试验验证、仿真技术等技术和设备，在交通运输设备领域开展的生产和制造活动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36*  汽车制造业</w:t>
            </w:r>
          </w:p>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37*  铁路、船舶、航空航天和其他运输设备制造业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w:t>
            </w:r>
            <w:r>
              <w:rPr>
                <w:rFonts w:hint="eastAsia" w:ascii="宋体" w:hAnsi="宋体" w:cs="宋体"/>
                <w:color w:val="auto"/>
                <w:kern w:val="0"/>
                <w:szCs w:val="21"/>
                <w:highlight w:val="none"/>
                <w:lang w:bidi="ar"/>
              </w:rPr>
              <w:t>0203</w:t>
            </w: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bCs/>
                <w:color w:val="auto"/>
                <w:szCs w:val="21"/>
                <w:highlight w:val="none"/>
              </w:rPr>
            </w:pPr>
            <w:r>
              <w:rPr>
                <w:rFonts w:hint="eastAsia" w:ascii="宋体" w:hAnsi="宋体" w:cs="宋体"/>
                <w:color w:val="auto"/>
                <w:szCs w:val="21"/>
                <w:highlight w:val="none"/>
              </w:rPr>
              <w:t xml:space="preserve">  数字化电气机械、器材和仪器仪表制造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孪生、人工智能、5G、区块链、VR/AR、边缘计算、试验验证、仿真技术等技术和设备，在电气机械和器材制造、仪器仪表领域开展的生产和制造活动。不包括电力电子元器件制造、光伏设备及元器件制造、专用电线电缆制造、光纤制造、光缆制造、智能照明器具制造、电气信号设备装置制造、工业自动控制系统装置制造</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38*  电气机械和器材制造业</w:t>
            </w:r>
          </w:p>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40*  仪器仪表制造业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050204</w:t>
            </w: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bCs/>
                <w:color w:val="auto"/>
                <w:szCs w:val="21"/>
                <w:highlight w:val="none"/>
              </w:rPr>
            </w:pPr>
            <w:r>
              <w:rPr>
                <w:rFonts w:hint="eastAsia" w:ascii="宋体" w:hAnsi="宋体" w:cs="宋体"/>
                <w:bCs/>
                <w:color w:val="auto"/>
                <w:szCs w:val="21"/>
                <w:highlight w:val="none"/>
              </w:rPr>
              <w:t xml:space="preserve">  其他智能制造</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指利用数字孪生、人工智能、5G、区块链、VR/AR、边缘计算、试验验证、仿真技术等技术和设备，在上述未列明的制造行业开展的生产和制造活动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bCs/>
                <w:color w:val="auto"/>
                <w:szCs w:val="21"/>
                <w:highlight w:val="none"/>
              </w:rPr>
            </w:pPr>
            <w:r>
              <w:rPr>
                <w:rFonts w:hint="eastAsia" w:ascii="宋体" w:hAnsi="宋体" w:cs="宋体"/>
                <w:bCs/>
                <w:color w:val="auto"/>
                <w:szCs w:val="21"/>
                <w:highlight w:val="none"/>
              </w:rPr>
              <w:t>C*   制造业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0503</w:t>
            </w:r>
          </w:p>
        </w:tc>
        <w:tc>
          <w:tcPr>
            <w:tcW w:w="825" w:type="dxa"/>
            <w:noWrap w:val="0"/>
            <w:tcMar>
              <w:top w:w="10" w:type="dxa"/>
              <w:left w:w="10" w:type="dxa"/>
              <w:right w:w="10" w:type="dxa"/>
            </w:tcMar>
            <w:vAlign w:val="top"/>
          </w:tcPr>
          <w:p>
            <w:pPr>
              <w:widowControl/>
              <w:adjustRightInd w:val="0"/>
              <w:snapToGrid w:val="0"/>
              <w:spacing w:line="320" w:lineRule="exact"/>
              <w:jc w:val="center"/>
              <w:textAlignment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00" w:firstLineChars="95"/>
              <w:rPr>
                <w:rFonts w:ascii="宋体" w:hAnsi="宋体" w:cs="宋体"/>
                <w:color w:val="auto"/>
                <w:szCs w:val="21"/>
                <w:highlight w:val="none"/>
              </w:rPr>
            </w:pPr>
            <w:r>
              <w:rPr>
                <w:rFonts w:hint="eastAsia" w:ascii="宋体" w:hAnsi="宋体" w:cs="宋体"/>
                <w:b/>
                <w:bCs/>
                <w:color w:val="auto"/>
                <w:szCs w:val="21"/>
                <w:highlight w:val="none"/>
              </w:rPr>
              <w:t>智能交通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0503</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智能铁路运输</w:t>
            </w:r>
          </w:p>
          <w:p>
            <w:pPr>
              <w:spacing w:line="320" w:lineRule="exact"/>
              <w:ind w:firstLine="409" w:firstLineChars="195"/>
              <w:rPr>
                <w:rFonts w:ascii="宋体" w:hAnsi="宋体" w:cs="宋体"/>
                <w:color w:val="auto"/>
                <w:szCs w:val="21"/>
                <w:highlight w:val="none"/>
              </w:rPr>
            </w:pPr>
          </w:p>
          <w:p>
            <w:pPr>
              <w:spacing w:line="320" w:lineRule="exact"/>
              <w:ind w:firstLine="409" w:firstLineChars="195"/>
              <w:rPr>
                <w:rFonts w:ascii="宋体" w:hAnsi="宋体" w:cs="宋体"/>
                <w:color w:val="auto"/>
                <w:szCs w:val="21"/>
                <w:highlight w:val="none"/>
              </w:rPr>
            </w:pP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指借助数字化技术和互联网平台进行的铁路安全管理、调度指挥、行车组织、客运组织、货运组织，以及机车车辆、线桥隧涵、牵引供电、通信信号、信息系统的运用及维修养护等活动</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53*  铁路运输业</w:t>
            </w:r>
          </w:p>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0503</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智能道路运输</w:t>
            </w:r>
          </w:p>
          <w:p>
            <w:pPr>
              <w:spacing w:line="320" w:lineRule="exact"/>
              <w:ind w:firstLine="409" w:firstLineChars="195"/>
              <w:rPr>
                <w:rFonts w:ascii="宋体" w:hAnsi="宋体" w:cs="宋体"/>
                <w:color w:val="auto"/>
                <w:szCs w:val="21"/>
                <w:highlight w:val="none"/>
              </w:rPr>
            </w:pP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指借助数字化技术和互联网平台进行的道路运输、经营及运输维护活动，包括公路智能管理、交通信号联动、公交优先通行控制、智慧停车场等</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54*  道路运输业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0503</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智能水上运输</w:t>
            </w:r>
          </w:p>
          <w:p>
            <w:pPr>
              <w:spacing w:line="320" w:lineRule="exact"/>
              <w:ind w:firstLine="409" w:firstLineChars="195"/>
              <w:rPr>
                <w:rFonts w:ascii="宋体" w:hAnsi="宋体" w:cs="宋体"/>
                <w:color w:val="auto"/>
                <w:szCs w:val="21"/>
                <w:highlight w:val="none"/>
              </w:rPr>
            </w:pP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指借助数字化技术和互联网平台进行的水上旅客运输、水上货物运输和水上运输辅助活动，包括智慧港口、数字航道等</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55*  水上运输业</w:t>
            </w:r>
          </w:p>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0503</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智能航空运输</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指借助数字化技术和互联网平台进行的航空客货运输、通用航空服务和航空运输辅助活动，包括智慧民航等</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56*  航空运输业</w:t>
            </w:r>
          </w:p>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0503</w:t>
            </w:r>
            <w:r>
              <w:rPr>
                <w:rFonts w:hint="eastAsia"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其他智能交通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指借助数字化技术和互联网平台进行的海底管道运输和陆地管道运输活动，以及由两种及以上的交通工具相互衔接、转运而共同完成的货物复合运输活动以及与运输有关的代理及服务活动</w:t>
            </w:r>
          </w:p>
        </w:tc>
        <w:tc>
          <w:tcPr>
            <w:tcW w:w="193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57*  管道运输业</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58*  多式联运和运输代理业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0504</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b/>
                <w:bCs/>
                <w:color w:val="auto"/>
                <w:szCs w:val="21"/>
                <w:highlight w:val="none"/>
              </w:rPr>
              <w:t xml:space="preserve">  智慧物流</w:t>
            </w:r>
          </w:p>
        </w:tc>
        <w:tc>
          <w:tcPr>
            <w:tcW w:w="3515" w:type="dxa"/>
            <w:noWrap w:val="0"/>
            <w:tcMar>
              <w:top w:w="10" w:type="dxa"/>
              <w:left w:w="10" w:type="dxa"/>
              <w:right w:w="10" w:type="dxa"/>
            </w:tcMar>
            <w:vAlign w:val="center"/>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0504</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智慧仓储</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指以信息化技术为依托的装卸搬运、仓储服务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59*  装卸搬运和仓储业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0504</w:t>
            </w:r>
            <w:r>
              <w:rPr>
                <w:rFonts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智慧配送</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指利用信息化技术开展的邮政、快递服务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60*   邮政业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0505</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b/>
                <w:bCs/>
                <w:color w:val="auto"/>
                <w:szCs w:val="21"/>
                <w:highlight w:val="none"/>
              </w:rPr>
              <w:t>数字金融</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0505</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银行金融服务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指银行提供的发放贷款、理财、监管等服务活动，包括中央银行服务、货币银行服务、非货币银行服务、银行理财服务和银行监管服务。不包括典当和网络借贷服务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66*  货币金融服务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0505</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数字资本市场服务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借助数字化技术和互联网平台进行的资本融通与交易市场的服务，包括证券市场服务、公开募集证券投资基金、非公开募集证券投资基金、期货市场服务、证券期货监管服务、资本投资服务，以及上述未列明的其他资本市场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67*  资本市场服务</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val="en" w:bidi="ar"/>
              </w:rPr>
            </w:pPr>
            <w:r>
              <w:rPr>
                <w:rFonts w:ascii="宋体" w:hAnsi="宋体" w:cs="宋体"/>
                <w:color w:val="auto"/>
                <w:kern w:val="0"/>
                <w:szCs w:val="21"/>
                <w:highlight w:val="none"/>
                <w:lang w:val="en" w:bidi="ar"/>
              </w:rPr>
              <w:t>0505</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互联网保险</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w:t>
            </w:r>
            <w:r>
              <w:rPr>
                <w:rFonts w:hint="eastAsia" w:ascii="宋体" w:hAnsi="宋体" w:cs="宋体"/>
                <w:color w:val="auto"/>
                <w:kern w:val="0"/>
                <w:szCs w:val="21"/>
                <w:highlight w:val="none"/>
                <w:lang w:bidi="ar"/>
              </w:rPr>
              <w:t>保险机构依托互联网订立保险合同、提供保险服务的保险经营活动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68*  保险业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b/>
                <w:bCs/>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0505</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其他数字金融</w:t>
            </w:r>
          </w:p>
        </w:tc>
        <w:tc>
          <w:tcPr>
            <w:tcW w:w="3515" w:type="dxa"/>
            <w:noWrap w:val="0"/>
            <w:tcMar>
              <w:top w:w="10" w:type="dxa"/>
              <w:left w:w="10" w:type="dxa"/>
              <w:right w:w="10" w:type="dxa"/>
            </w:tcMar>
            <w:vAlign w:val="top"/>
          </w:tcPr>
          <w:p>
            <w:pPr>
              <w:spacing w:line="320" w:lineRule="exact"/>
              <w:ind w:firstLine="200"/>
              <w:rPr>
                <w:rFonts w:ascii="宋体" w:hAnsi="宋体" w:cs="宋体"/>
                <w:color w:val="auto"/>
                <w:szCs w:val="21"/>
                <w:highlight w:val="none"/>
              </w:rPr>
            </w:pPr>
            <w:r>
              <w:rPr>
                <w:rFonts w:hint="eastAsia" w:ascii="宋体" w:hAnsi="宋体" w:cs="宋体"/>
                <w:color w:val="auto"/>
                <w:szCs w:val="21"/>
                <w:highlight w:val="none"/>
              </w:rPr>
              <w:t>指上述未列明的其他金融业。不包括非金融机构支付服务、金融信息服务</w:t>
            </w:r>
          </w:p>
        </w:tc>
        <w:tc>
          <w:tcPr>
            <w:tcW w:w="1935" w:type="dxa"/>
            <w:noWrap w:val="0"/>
            <w:tcMar>
              <w:top w:w="10" w:type="dxa"/>
              <w:left w:w="10" w:type="dxa"/>
              <w:right w:w="10" w:type="dxa"/>
            </w:tcMar>
            <w:vAlign w:val="top"/>
          </w:tcPr>
          <w:p>
            <w:pPr>
              <w:spacing w:line="320" w:lineRule="exact"/>
              <w:ind w:firstLine="200"/>
              <w:rPr>
                <w:rFonts w:ascii="宋体" w:hAnsi="宋体" w:cs="宋体"/>
                <w:color w:val="auto"/>
                <w:szCs w:val="21"/>
                <w:highlight w:val="none"/>
              </w:rPr>
            </w:pPr>
            <w:r>
              <w:rPr>
                <w:rFonts w:hint="eastAsia" w:ascii="宋体" w:hAnsi="宋体" w:cs="宋体"/>
                <w:color w:val="auto"/>
                <w:szCs w:val="21"/>
                <w:highlight w:val="none"/>
              </w:rPr>
              <w:t>69*  其他金融业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0506</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b/>
                <w:bCs/>
                <w:color w:val="auto"/>
                <w:szCs w:val="21"/>
                <w:highlight w:val="none"/>
              </w:rPr>
              <w:t>数字商贸</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r>
              <w:rPr>
                <w:rFonts w:ascii="宋体" w:hAnsi="宋体" w:cs="宋体"/>
                <w:color w:val="auto"/>
                <w:kern w:val="0"/>
                <w:szCs w:val="21"/>
                <w:highlight w:val="none"/>
                <w:lang w:val="en" w:bidi="ar"/>
              </w:rPr>
              <w:t>0506</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数字化批发</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指在商品流通环节中有数字化技术适度参与的批发活动。不包括主要通过互联网电子商务平台开展的商品批发活动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51*  批发业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r>
              <w:rPr>
                <w:rFonts w:ascii="宋体" w:hAnsi="宋体" w:cs="宋体"/>
                <w:color w:val="auto"/>
                <w:kern w:val="0"/>
                <w:szCs w:val="21"/>
                <w:highlight w:val="none"/>
                <w:lang w:val="en" w:bidi="ar"/>
              </w:rPr>
              <w:t>0506</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数字化零售</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指在商品流通环节中有数字化技术适度参与的零售活动，包括无人店铺零售、新零售等。不包括主要通过互联网电子商务平台开展的商品零售活动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52*  零售业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050603</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数字化住宿</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指利用信息化技术开展的高效、精准、便捷的现代住宿活动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61*  住宿业</w:t>
            </w:r>
          </w:p>
          <w:p>
            <w:pPr>
              <w:spacing w:line="320" w:lineRule="exact"/>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0506</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数字化餐饮</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指利用信息化技术开展的高效、精准、便捷的现代餐饮活动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62*  餐饮业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r>
              <w:rPr>
                <w:rFonts w:hint="eastAsia" w:ascii="宋体" w:hAnsi="宋体" w:cs="宋体"/>
                <w:color w:val="auto"/>
                <w:kern w:val="0"/>
                <w:szCs w:val="21"/>
                <w:highlight w:val="none"/>
                <w:lang w:bidi="ar"/>
              </w:rPr>
              <w:t>050605</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数字化租赁</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指利用信息化技术开展的租赁活动。不包括计算机及通讯设备经营租赁、音像制品出租</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71*  租赁业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r>
              <w:rPr>
                <w:rFonts w:ascii="宋体" w:hAnsi="宋体" w:cs="宋体"/>
                <w:color w:val="auto"/>
                <w:kern w:val="0"/>
                <w:szCs w:val="21"/>
                <w:highlight w:val="none"/>
                <w:lang w:val="en" w:bidi="ar"/>
              </w:rPr>
              <w:t>0506</w:t>
            </w:r>
            <w:r>
              <w:rPr>
                <w:rFonts w:hint="eastAsia" w:ascii="宋体" w:hAnsi="宋体" w:cs="宋体"/>
                <w:color w:val="auto"/>
                <w:kern w:val="0"/>
                <w:szCs w:val="21"/>
                <w:highlight w:val="none"/>
                <w:lang w:bidi="ar"/>
              </w:rPr>
              <w:t>06</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数字化商务服务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指利用信息化技术开展的</w:t>
            </w:r>
            <w:r>
              <w:rPr>
                <w:rFonts w:hint="eastAsia" w:ascii="宋体" w:hAnsi="宋体"/>
                <w:color w:val="auto"/>
                <w:szCs w:val="21"/>
                <w:highlight w:val="none"/>
              </w:rPr>
              <w:t>商务咨询与调查、票务代理服务、</w:t>
            </w:r>
            <w:r>
              <w:rPr>
                <w:rFonts w:hint="eastAsia" w:ascii="宋体" w:hAnsi="宋体" w:cs="宋体"/>
                <w:color w:val="auto"/>
                <w:szCs w:val="21"/>
                <w:highlight w:val="none"/>
              </w:rPr>
              <w:t>旅游、人力资源服务、会议展览及相关服务等活动。不包括资源与产权交易服务、供应链管理服务、互联网广告服务、安全系统监控服务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72*  商务服务业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color w:val="auto"/>
                <w:szCs w:val="21"/>
                <w:highlight w:val="none"/>
              </w:rPr>
            </w:pPr>
            <w:r>
              <w:rPr>
                <w:rFonts w:ascii="宋体" w:hAnsi="宋体" w:cs="宋体"/>
                <w:b/>
                <w:bCs/>
                <w:color w:val="auto"/>
                <w:szCs w:val="21"/>
                <w:highlight w:val="none"/>
                <w:lang w:val="en"/>
              </w:rPr>
              <w:t>0507</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szCs w:val="21"/>
                <w:highlight w:val="none"/>
                <w:lang w:bidi="ar"/>
              </w:rPr>
            </w:pPr>
          </w:p>
        </w:tc>
        <w:tc>
          <w:tcPr>
            <w:tcW w:w="1356" w:type="dxa"/>
            <w:noWrap w:val="0"/>
            <w:tcMar>
              <w:top w:w="10" w:type="dxa"/>
              <w:left w:w="10" w:type="dxa"/>
              <w:right w:w="10" w:type="dxa"/>
            </w:tcMar>
            <w:vAlign w:val="top"/>
          </w:tcPr>
          <w:p>
            <w:pPr>
              <w:spacing w:line="320" w:lineRule="exact"/>
              <w:ind w:firstLine="200" w:firstLineChars="95"/>
              <w:rPr>
                <w:rFonts w:ascii="宋体" w:hAnsi="宋体" w:cs="宋体"/>
                <w:color w:val="auto"/>
                <w:szCs w:val="21"/>
                <w:highlight w:val="none"/>
              </w:rPr>
            </w:pPr>
            <w:r>
              <w:rPr>
                <w:rFonts w:hint="eastAsia" w:ascii="宋体" w:hAnsi="宋体" w:cs="宋体"/>
                <w:b/>
                <w:bCs/>
                <w:color w:val="auto"/>
                <w:szCs w:val="21"/>
                <w:highlight w:val="none"/>
              </w:rPr>
              <w:t>数字社会</w:t>
            </w:r>
          </w:p>
        </w:tc>
        <w:tc>
          <w:tcPr>
            <w:tcW w:w="3515" w:type="dxa"/>
            <w:noWrap w:val="0"/>
            <w:tcMar>
              <w:top w:w="10" w:type="dxa"/>
              <w:left w:w="10" w:type="dxa"/>
              <w:right w:w="10" w:type="dxa"/>
            </w:tcMar>
            <w:vAlign w:val="top"/>
          </w:tcPr>
          <w:p>
            <w:pPr>
              <w:spacing w:line="320" w:lineRule="exact"/>
              <w:rPr>
                <w:rFonts w:ascii="宋体" w:hAnsi="宋体" w:cs="宋体"/>
                <w:color w:val="auto"/>
                <w:szCs w:val="21"/>
                <w:highlight w:val="none"/>
              </w:rPr>
            </w:pPr>
            <w:r>
              <w:rPr>
                <w:rFonts w:hint="eastAsia" w:ascii="宋体" w:hAnsi="宋体" w:cs="宋体"/>
                <w:color w:val="auto"/>
                <w:szCs w:val="21"/>
                <w:highlight w:val="none"/>
              </w:rPr>
              <w:t xml:space="preserve">  </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b/>
                <w:bCs/>
                <w:color w:val="auto"/>
                <w:kern w:val="0"/>
                <w:szCs w:val="21"/>
                <w:highlight w:val="none"/>
                <w:lang w:val="en" w:bidi="ar"/>
              </w:rPr>
            </w:pPr>
            <w:r>
              <w:rPr>
                <w:rFonts w:ascii="宋体" w:hAnsi="宋体" w:cs="宋体"/>
                <w:color w:val="auto"/>
                <w:kern w:val="0"/>
                <w:szCs w:val="21"/>
                <w:highlight w:val="none"/>
                <w:lang w:val="en" w:bidi="ar"/>
              </w:rPr>
              <w:t>0507</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b/>
                <w:bCs/>
                <w:color w:val="auto"/>
                <w:szCs w:val="21"/>
                <w:highlight w:val="none"/>
              </w:rPr>
            </w:pPr>
            <w:r>
              <w:rPr>
                <w:rFonts w:hint="eastAsia" w:ascii="宋体" w:hAnsi="宋体" w:cs="宋体"/>
                <w:color w:val="auto"/>
                <w:szCs w:val="21"/>
                <w:highlight w:val="none"/>
              </w:rPr>
              <w:t>智慧教育</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指利用数字化技术和信息化平台进行内容传播和快速学习的活动，包括在线教育、在线培训、网络学院、网络教育和以在线学习等为主的互联网学校教育和职业技能培训等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83*  教育</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0507</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智慧医疗</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指利用数字化技术和信息化平台开展的医学检查检验影像，以及在线医疗、远程医疗等服务活动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84*  卫生</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0507</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数字化社会工作</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指利用数字化技术和信息化平台开展的慈善、救助、福利、护理、帮助等社会工作的活动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85*  社会工作</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r>
              <w:rPr>
                <w:rFonts w:ascii="宋体" w:hAnsi="宋体" w:cs="宋体"/>
                <w:b/>
                <w:bCs/>
                <w:color w:val="auto"/>
                <w:szCs w:val="21"/>
                <w:highlight w:val="none"/>
                <w:lang w:val="en"/>
              </w:rPr>
              <w:t>0508</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b/>
                <w:bCs/>
                <w:color w:val="auto"/>
                <w:szCs w:val="21"/>
                <w:highlight w:val="none"/>
              </w:rPr>
              <w:t>数字政府</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0508</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r>
              <w:rPr>
                <w:rFonts w:hint="eastAsia" w:ascii="宋体" w:hAnsi="宋体" w:cs="宋体"/>
                <w:color w:val="auto"/>
                <w:szCs w:val="21"/>
                <w:highlight w:val="none"/>
              </w:rPr>
              <w:t xml:space="preserve">  行政办公自动化</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指各级行政机关应用现代信息技术、网络技术、计算机等进行的内部办公活动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S*   公共管理、社会保障和社会组织</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0508</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widowControl/>
              <w:spacing w:line="320" w:lineRule="exact"/>
              <w:rPr>
                <w:rFonts w:ascii="宋体" w:hAnsi="宋体" w:cs="宋体"/>
                <w:b/>
                <w:bCs/>
                <w:color w:val="auto"/>
                <w:szCs w:val="21"/>
                <w:highlight w:val="none"/>
              </w:rPr>
            </w:pPr>
            <w:r>
              <w:rPr>
                <w:rFonts w:hint="eastAsia" w:ascii="宋体" w:hAnsi="宋体" w:cs="宋体"/>
                <w:color w:val="auto"/>
                <w:kern w:val="0"/>
                <w:szCs w:val="21"/>
                <w:highlight w:val="none"/>
                <w:lang w:bidi="ar"/>
              </w:rPr>
              <w:t xml:space="preserve">    网上税务办理</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指税务部门通过互联网提供的税收缴纳服务和管理活动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9221*综合事务管理机构</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0508</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widowControl/>
              <w:spacing w:line="320" w:lineRule="exact"/>
              <w:rPr>
                <w:rFonts w:ascii="宋体" w:hAnsi="宋体" w:cs="宋体"/>
                <w:b/>
                <w:bCs/>
                <w:color w:val="auto"/>
                <w:szCs w:val="21"/>
                <w:highlight w:val="none"/>
              </w:rPr>
            </w:pPr>
            <w:r>
              <w:rPr>
                <w:rFonts w:hint="eastAsia" w:ascii="宋体" w:hAnsi="宋体" w:cs="宋体"/>
                <w:color w:val="auto"/>
                <w:kern w:val="0"/>
                <w:szCs w:val="21"/>
                <w:highlight w:val="none"/>
                <w:lang w:bidi="ar"/>
              </w:rPr>
              <w:t xml:space="preserve">    </w:t>
            </w:r>
            <w:r>
              <w:rPr>
                <w:rFonts w:hint="eastAsia" w:ascii="宋体" w:hAnsi="宋体" w:cs="宋体"/>
                <w:color w:val="auto"/>
                <w:szCs w:val="21"/>
                <w:highlight w:val="none"/>
              </w:rPr>
              <w:t>互联网</w:t>
            </w:r>
            <w:r>
              <w:rPr>
                <w:rFonts w:hint="eastAsia" w:ascii="宋体" w:hAnsi="宋体" w:cs="宋体"/>
                <w:color w:val="auto"/>
                <w:kern w:val="0"/>
                <w:szCs w:val="21"/>
                <w:highlight w:val="none"/>
                <w:lang w:bidi="ar"/>
              </w:rPr>
              <w:t>海关服务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指海关通过互联网进行的通关管理、关税征收等活动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9221*综合事务管理机构</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0508</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widowControl/>
              <w:spacing w:line="320" w:lineRule="exact"/>
              <w:rPr>
                <w:rFonts w:ascii="宋体" w:hAnsi="宋体" w:cs="宋体"/>
                <w:b/>
                <w:bCs/>
                <w:color w:val="auto"/>
                <w:szCs w:val="21"/>
                <w:highlight w:val="none"/>
              </w:rPr>
            </w:pPr>
            <w:r>
              <w:rPr>
                <w:rFonts w:hint="eastAsia" w:ascii="宋体" w:hAnsi="宋体" w:cs="宋体"/>
                <w:color w:val="auto"/>
                <w:kern w:val="0"/>
                <w:szCs w:val="21"/>
                <w:highlight w:val="none"/>
                <w:lang w:bidi="ar"/>
              </w:rPr>
              <w:t xml:space="preserve">    网上社会保障服务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指社会保障部门通过互联网提供的各种社会保障服务，包括基本保险、补充保险及其他基本保险等</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94*  社会保障</w:t>
            </w:r>
          </w:p>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0508</w:t>
            </w:r>
            <w:r>
              <w:rPr>
                <w:rFonts w:hint="eastAsia"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widowControl/>
              <w:spacing w:line="320" w:lineRule="exact"/>
              <w:rPr>
                <w:rFonts w:ascii="宋体" w:hAnsi="宋体" w:cs="宋体"/>
                <w:b/>
                <w:bCs/>
                <w:color w:val="auto"/>
                <w:szCs w:val="21"/>
                <w:highlight w:val="none"/>
              </w:rPr>
            </w:pPr>
            <w:r>
              <w:rPr>
                <w:rFonts w:hint="eastAsia" w:ascii="宋体" w:hAnsi="宋体" w:cs="宋体"/>
                <w:color w:val="auto"/>
                <w:kern w:val="0"/>
                <w:szCs w:val="21"/>
                <w:highlight w:val="none"/>
                <w:lang w:bidi="ar"/>
              </w:rPr>
              <w:t xml:space="preserve">    其他数字政府</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指其他未列明的电子政务活动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S*   公共管理、社会保障和社会组织</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lang w:val="en"/>
              </w:rPr>
            </w:pPr>
            <w:r>
              <w:rPr>
                <w:rFonts w:ascii="宋体" w:hAnsi="宋体" w:cs="宋体"/>
                <w:b/>
                <w:bCs/>
                <w:color w:val="auto"/>
                <w:szCs w:val="21"/>
                <w:highlight w:val="none"/>
                <w:lang w:val="en"/>
              </w:rPr>
              <w:t>0509</w:t>
            </w: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p>
        </w:tc>
        <w:tc>
          <w:tcPr>
            <w:tcW w:w="1356"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b/>
                <w:bCs/>
                <w:color w:val="auto"/>
                <w:szCs w:val="21"/>
                <w:highlight w:val="none"/>
              </w:rPr>
              <w:t>其他数字化效率提升业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01</w:t>
            </w: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bCs/>
                <w:color w:val="auto"/>
                <w:szCs w:val="21"/>
                <w:highlight w:val="none"/>
              </w:rPr>
              <w:t xml:space="preserve">  数字采矿</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指利用工业机器人、大数据、物联网、云技术等技术和设备开展煤炭、石油和天然气的开采、洗选、采选、分级等生产活动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B*   采矿业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jc w:val="center"/>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02</w:t>
            </w:r>
          </w:p>
        </w:tc>
        <w:tc>
          <w:tcPr>
            <w:tcW w:w="1356"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b/>
                <w:bCs/>
                <w:color w:val="auto"/>
                <w:szCs w:val="21"/>
                <w:highlight w:val="none"/>
              </w:rPr>
              <w:t xml:space="preserve"> </w:t>
            </w:r>
            <w:r>
              <w:rPr>
                <w:rFonts w:hint="eastAsia" w:ascii="宋体" w:hAnsi="宋体" w:cs="宋体"/>
                <w:color w:val="auto"/>
                <w:szCs w:val="21"/>
                <w:highlight w:val="none"/>
              </w:rPr>
              <w:t xml:space="preserve"> 智能化电力、热力、燃气及水生产和供应</w:t>
            </w:r>
          </w:p>
        </w:tc>
        <w:tc>
          <w:tcPr>
            <w:tcW w:w="3515" w:type="dxa"/>
            <w:noWrap w:val="0"/>
            <w:tcMar>
              <w:top w:w="10" w:type="dxa"/>
              <w:left w:w="10" w:type="dxa"/>
              <w:right w:w="10" w:type="dxa"/>
            </w:tcMar>
            <w:vAlign w:val="top"/>
          </w:tcPr>
          <w:p>
            <w:pPr>
              <w:spacing w:line="320" w:lineRule="exact"/>
              <w:ind w:firstLine="210" w:firstLineChars="100"/>
              <w:rPr>
                <w:rFonts w:ascii="宋体" w:hAnsi="宋体" w:cs="微软雅黑"/>
                <w:color w:val="auto"/>
                <w:szCs w:val="21"/>
                <w:highlight w:val="none"/>
              </w:rPr>
            </w:pPr>
            <w:r>
              <w:rPr>
                <w:rFonts w:hint="eastAsia" w:ascii="宋体" w:hAnsi="宋体" w:cs="宋体"/>
                <w:color w:val="auto"/>
                <w:szCs w:val="21"/>
                <w:highlight w:val="none"/>
              </w:rPr>
              <w:t>指将大数据、物联网、云技术等技术和设备应用到电力、热力、燃气及水生产、处理、利用或供应活动中，实现生产、处理、利用或供应过程可视化智能实时监控预警等功能的生产活动</w:t>
            </w:r>
          </w:p>
        </w:tc>
        <w:tc>
          <w:tcPr>
            <w:tcW w:w="1935" w:type="dxa"/>
            <w:noWrap w:val="0"/>
            <w:tcMar>
              <w:top w:w="10" w:type="dxa"/>
              <w:left w:w="10" w:type="dxa"/>
              <w:right w:w="10" w:type="dxa"/>
            </w:tcMar>
            <w:vAlign w:val="top"/>
          </w:tcPr>
          <w:p>
            <w:pPr>
              <w:spacing w:line="320" w:lineRule="exact"/>
              <w:ind w:firstLine="210" w:firstLineChars="100"/>
              <w:jc w:val="left"/>
              <w:rPr>
                <w:rFonts w:ascii="宋体" w:hAnsi="宋体" w:cs="宋体"/>
                <w:color w:val="auto"/>
                <w:szCs w:val="21"/>
                <w:highlight w:val="none"/>
              </w:rPr>
            </w:pPr>
            <w:r>
              <w:rPr>
                <w:rFonts w:hint="eastAsia" w:ascii="宋体" w:hAnsi="宋体" w:cs="宋体"/>
                <w:color w:val="auto"/>
                <w:szCs w:val="21"/>
                <w:highlight w:val="none"/>
              </w:rPr>
              <w:t>D*   电力、热力、燃气及水生产和供应业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03</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color w:val="auto"/>
                <w:szCs w:val="21"/>
                <w:highlight w:val="none"/>
              </w:rPr>
            </w:pPr>
            <w:r>
              <w:rPr>
                <w:rFonts w:hint="eastAsia" w:ascii="宋体" w:hAnsi="宋体" w:cs="宋体"/>
                <w:color w:val="auto"/>
                <w:szCs w:val="21"/>
                <w:highlight w:val="none"/>
              </w:rPr>
              <w:t>数字化建筑业</w:t>
            </w:r>
          </w:p>
        </w:tc>
        <w:tc>
          <w:tcPr>
            <w:tcW w:w="3515" w:type="dxa"/>
            <w:noWrap w:val="0"/>
            <w:tcMar>
              <w:top w:w="10" w:type="dxa"/>
              <w:left w:w="10" w:type="dxa"/>
              <w:right w:w="10" w:type="dxa"/>
            </w:tcMar>
            <w:vAlign w:val="top"/>
          </w:tcPr>
          <w:p>
            <w:pPr>
              <w:spacing w:line="320" w:lineRule="exact"/>
              <w:ind w:firstLine="210" w:firstLineChars="100"/>
              <w:rPr>
                <w:rFonts w:ascii="宋体" w:hAnsi="宋体"/>
                <w:color w:val="auto"/>
                <w:szCs w:val="21"/>
                <w:highlight w:val="none"/>
              </w:rPr>
            </w:pPr>
            <w:r>
              <w:rPr>
                <w:rFonts w:hint="eastAsia" w:ascii="宋体" w:hAnsi="宋体"/>
                <w:color w:val="auto"/>
                <w:szCs w:val="21"/>
                <w:highlight w:val="none"/>
              </w:rPr>
              <w:t>指利用BIM技术、云计算、大数据、物联网、人工智能、移动互联网等数字技术与传统建筑业的融合活动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E*   建筑业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04</w:t>
            </w:r>
          </w:p>
        </w:tc>
        <w:tc>
          <w:tcPr>
            <w:tcW w:w="1356" w:type="dxa"/>
            <w:noWrap w:val="0"/>
            <w:tcMar>
              <w:top w:w="10" w:type="dxa"/>
              <w:left w:w="10" w:type="dxa"/>
              <w:right w:w="10" w:type="dxa"/>
            </w:tcMar>
            <w:vAlign w:val="top"/>
          </w:tcPr>
          <w:p>
            <w:pPr>
              <w:spacing w:line="320" w:lineRule="exact"/>
              <w:ind w:firstLine="409" w:firstLineChars="195"/>
              <w:rPr>
                <w:rFonts w:ascii="宋体" w:hAnsi="宋体" w:cs="宋体"/>
                <w:b/>
                <w:bCs/>
                <w:color w:val="auto"/>
                <w:szCs w:val="21"/>
                <w:highlight w:val="none"/>
              </w:rPr>
            </w:pPr>
            <w:r>
              <w:rPr>
                <w:rFonts w:hint="eastAsia" w:ascii="宋体" w:hAnsi="宋体" w:cs="宋体"/>
                <w:color w:val="auto"/>
                <w:szCs w:val="21"/>
                <w:highlight w:val="none"/>
              </w:rPr>
              <w:t>互联网房地产业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olor w:val="auto"/>
                <w:szCs w:val="21"/>
                <w:highlight w:val="none"/>
              </w:rPr>
              <w:t>指利用互联网进行的</w:t>
            </w:r>
            <w:r>
              <w:rPr>
                <w:rFonts w:hint="eastAsia" w:ascii="宋体" w:hAnsi="宋体" w:cs="宋体"/>
                <w:color w:val="auto"/>
                <w:szCs w:val="21"/>
                <w:highlight w:val="none"/>
              </w:rPr>
              <w:t>房地产中介服务、房地产租赁经营，以及上述未列明的其他互联网房地产业</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K*   房地产业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05</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专业技术服务业数字化</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通过大数据、云计算等技术手段进行的专业技术服务，包括气象服务、地震服务、海洋服务、环境与生态监测检测服务、地质勘查、工程技术与设计服务及其他专业技术服务。不包括工程和技术研究和试验发展、测绘地理信息服务、三维（3D）打印技术推广服务</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M*  科学研究和技术服务业</w:t>
            </w:r>
          </w:p>
          <w:p>
            <w:pPr>
              <w:spacing w:line="320" w:lineRule="exact"/>
              <w:ind w:firstLine="210" w:firstLineChars="100"/>
              <w:rPr>
                <w:rFonts w:ascii="宋体" w:hAnsi="宋体" w:cs="宋体"/>
                <w:color w:val="auto"/>
                <w:szCs w:val="21"/>
                <w:highlight w:val="none"/>
              </w:rPr>
            </w:pP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06</w:t>
            </w:r>
          </w:p>
        </w:tc>
        <w:tc>
          <w:tcPr>
            <w:tcW w:w="1356" w:type="dxa"/>
            <w:noWrap w:val="0"/>
            <w:tcMar>
              <w:top w:w="10" w:type="dxa"/>
              <w:left w:w="10" w:type="dxa"/>
              <w:right w:w="10" w:type="dxa"/>
            </w:tcMar>
            <w:vAlign w:val="top"/>
          </w:tcPr>
          <w:p>
            <w:pPr>
              <w:spacing w:line="320" w:lineRule="exact"/>
              <w:rPr>
                <w:rFonts w:ascii="宋体" w:hAnsi="宋体" w:cs="宋体"/>
                <w:b/>
                <w:bCs/>
                <w:color w:val="auto"/>
                <w:szCs w:val="21"/>
                <w:highlight w:val="none"/>
              </w:rPr>
            </w:pPr>
            <w:r>
              <w:rPr>
                <w:rFonts w:hint="eastAsia" w:ascii="宋体" w:hAnsi="宋体" w:cs="宋体"/>
                <w:color w:val="auto"/>
                <w:szCs w:val="21"/>
                <w:highlight w:val="none"/>
              </w:rPr>
              <w:t xml:space="preserve">    数字化水利、环境和市政设施管理</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指通过信息技术和网络手段实现的水利、环境和公共设施管理，包括水利管理、公共设施管理、土地管理、生态保护和环境治理活动</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N*  水利、环境和公共设施管理业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ind w:firstLine="210" w:firstLineChars="100"/>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07</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互联网居民生活服务</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利用信息化技术，通过互联网联络、承接业务、签单、付款等提供的家庭服务、托儿所服务、洗染服务、理发及美容服务、洗浴和保健养生服务、摄影扩印服务、婚姻服务、殡葬服务、代购服务、代驾服务、机动车和日用品修理服务、清洁服务等居民服务业。不包括计算机和辅助设备修理、通讯设备修理</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O*  居民服务、修理和其他服务业</w:t>
            </w:r>
          </w:p>
        </w:tc>
      </w:tr>
      <w:tr>
        <w:tblPrEx>
          <w:tblBorders>
            <w:top w:val="single" w:color="000000" w:sz="8" w:space="0"/>
            <w:left w:val="none" w:color="auto" w:sz="0" w:space="0"/>
            <w:bottom w:val="single" w:color="000000" w:sz="8" w:space="0"/>
            <w:right w:val="none" w:color="auto" w:sz="0" w:space="0"/>
            <w:insideH w:val="none" w:color="auto" w:sz="0" w:space="0"/>
            <w:insideV w:val="single" w:color="000000" w:sz="4" w:space="0"/>
          </w:tblBorders>
          <w:tblCellMar>
            <w:top w:w="0" w:type="dxa"/>
            <w:left w:w="0" w:type="dxa"/>
            <w:bottom w:w="0" w:type="dxa"/>
            <w:right w:w="0" w:type="dxa"/>
          </w:tblCellMar>
        </w:tblPrEx>
        <w:trPr>
          <w:jc w:val="center"/>
        </w:trPr>
        <w:tc>
          <w:tcPr>
            <w:tcW w:w="539"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p>
        </w:tc>
        <w:tc>
          <w:tcPr>
            <w:tcW w:w="642" w:type="dxa"/>
            <w:noWrap w:val="0"/>
            <w:tcMar>
              <w:top w:w="10" w:type="dxa"/>
              <w:left w:w="10" w:type="dxa"/>
              <w:right w:w="10" w:type="dxa"/>
            </w:tcMar>
            <w:vAlign w:val="top"/>
          </w:tcPr>
          <w:p>
            <w:pPr>
              <w:spacing w:line="320" w:lineRule="exact"/>
              <w:jc w:val="center"/>
              <w:rPr>
                <w:rFonts w:ascii="宋体" w:hAnsi="宋体" w:cs="宋体"/>
                <w:b/>
                <w:bCs/>
                <w:color w:val="auto"/>
                <w:szCs w:val="21"/>
                <w:highlight w:val="none"/>
              </w:rPr>
            </w:pPr>
          </w:p>
        </w:tc>
        <w:tc>
          <w:tcPr>
            <w:tcW w:w="825" w:type="dxa"/>
            <w:noWrap w:val="0"/>
            <w:tcMar>
              <w:top w:w="10" w:type="dxa"/>
              <w:left w:w="10" w:type="dxa"/>
              <w:right w:w="10" w:type="dxa"/>
            </w:tcMar>
            <w:vAlign w:val="top"/>
          </w:tcPr>
          <w:p>
            <w:pPr>
              <w:widowControl/>
              <w:spacing w:line="320" w:lineRule="exact"/>
              <w:jc w:val="center"/>
              <w:rPr>
                <w:rFonts w:ascii="宋体" w:hAnsi="宋体" w:cs="宋体"/>
                <w:color w:val="auto"/>
                <w:kern w:val="0"/>
                <w:szCs w:val="21"/>
                <w:highlight w:val="none"/>
                <w:lang w:val="en" w:bidi="ar"/>
              </w:rPr>
            </w:pPr>
            <w:r>
              <w:rPr>
                <w:rFonts w:ascii="宋体" w:hAnsi="宋体" w:cs="宋体"/>
                <w:color w:val="auto"/>
                <w:kern w:val="0"/>
                <w:szCs w:val="21"/>
                <w:highlight w:val="none"/>
                <w:lang w:val="en" w:bidi="ar"/>
              </w:rPr>
              <w:t>0509</w:t>
            </w:r>
            <w:r>
              <w:rPr>
                <w:rFonts w:hint="eastAsia" w:ascii="宋体" w:hAnsi="宋体" w:cs="宋体"/>
                <w:color w:val="auto"/>
                <w:kern w:val="0"/>
                <w:szCs w:val="21"/>
                <w:highlight w:val="none"/>
                <w:lang w:bidi="ar"/>
              </w:rPr>
              <w:t>08</w:t>
            </w:r>
          </w:p>
        </w:tc>
        <w:tc>
          <w:tcPr>
            <w:tcW w:w="1356" w:type="dxa"/>
            <w:noWrap w:val="0"/>
            <w:tcMar>
              <w:top w:w="10" w:type="dxa"/>
              <w:left w:w="10" w:type="dxa"/>
              <w:right w:w="10" w:type="dxa"/>
            </w:tcMar>
            <w:vAlign w:val="top"/>
          </w:tcPr>
          <w:p>
            <w:pPr>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互联网文体娱乐业</w:t>
            </w:r>
          </w:p>
        </w:tc>
        <w:tc>
          <w:tcPr>
            <w:tcW w:w="351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指充分渗透数字化技术的文化体育和娱乐活动，包括数字博物馆、数字图书馆等利用数字化技术和信息化平台、借助数字化设备进行的文化艺术活动，专业从事体育比赛、训练、辅导和管理的组织所进行的活动，体育中介代理活动，以及各种形式的彩票活动。不包括新闻业、音像制品出版、电子出版物出版、数字出版</w:t>
            </w:r>
          </w:p>
        </w:tc>
        <w:tc>
          <w:tcPr>
            <w:tcW w:w="1935" w:type="dxa"/>
            <w:noWrap w:val="0"/>
            <w:tcMar>
              <w:top w:w="10" w:type="dxa"/>
              <w:left w:w="10" w:type="dxa"/>
              <w:right w:w="10" w:type="dxa"/>
            </w:tcMar>
            <w:vAlign w:val="top"/>
          </w:tcPr>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86*  新闻和出版业</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88*  文化艺术业</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89*  体育</w:t>
            </w:r>
          </w:p>
          <w:p>
            <w:pPr>
              <w:spacing w:line="3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90*  娱乐业</w:t>
            </w:r>
          </w:p>
        </w:tc>
      </w:tr>
    </w:tbl>
    <w:p>
      <w:pPr>
        <w:tabs>
          <w:tab w:val="right" w:leader="middleDot" w:pos="9421"/>
        </w:tabs>
        <w:snapToGrid w:val="0"/>
        <w:spacing w:before="0" w:beforeLines="0" w:after="240" w:afterLines="100" w:line="480" w:lineRule="exact"/>
        <w:jc w:val="center"/>
        <w:outlineLvl w:val="0"/>
        <w:rPr>
          <w:rFonts w:hint="eastAsia" w:ascii="黑体" w:hAnsi="Times New Roman" w:eastAsia="黑体" w:cs="Times New Roman"/>
          <w:color w:val="auto"/>
          <w:sz w:val="32"/>
          <w:szCs w:val="32"/>
          <w:highlight w:val="none"/>
        </w:rPr>
      </w:pP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Pr>
        <w:rPr>
          <w:color w:val="auto"/>
          <w:highlight w:val="none"/>
        </w:rPr>
      </w:pPr>
    </w:p>
    <w:p>
      <w:pPr>
        <w:keepNext w:val="0"/>
        <w:keepLines w:val="0"/>
        <w:pageBreakBefore w:val="0"/>
        <w:widowControl w:val="0"/>
        <w:kinsoku/>
        <w:wordWrap/>
        <w:overflowPunct/>
        <w:topLinePunct w:val="0"/>
        <w:autoSpaceDE/>
        <w:autoSpaceDN/>
        <w:bidi w:val="0"/>
        <w:adjustRightInd/>
        <w:snapToGrid w:val="0"/>
        <w:jc w:val="both"/>
        <w:textAlignment w:val="auto"/>
        <w:rPr>
          <w:rFonts w:hint="eastAsia" w:ascii="方正小标宋简体" w:hAnsi="方正小标宋简体" w:eastAsia="方正小标宋简体" w:cs="方正小标宋简体"/>
          <w:color w:val="auto"/>
          <w:sz w:val="44"/>
          <w:szCs w:val="44"/>
          <w:highlight w:val="none"/>
          <w:lang w:val="en-US" w:eastAsia="zh-CN"/>
        </w:rPr>
      </w:pPr>
    </w:p>
    <w:sectPr>
      <w:footerReference r:id="rId11" w:type="default"/>
      <w:pgSz w:w="11906" w:h="16838"/>
      <w:pgMar w:top="2098" w:right="1474" w:bottom="181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_GBK">
    <w:altName w:val="方正书宋_GBK"/>
    <w:panose1 w:val="02000000000000000000"/>
    <w:charset w:val="86"/>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汉仪叶叶相思体简">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lkzSpyAEAAJkDAAAOAAAAAAAA&#10;AAEAIAAAADQBAABkcnMvZTJvRG9jLnhtbFBLBQYAAAAABgAGAFkBAABuBQAAAAA=&#10;">
              <v:fill on="f" focussize="0,0"/>
              <v:stroke on="f"/>
              <v:imagedata o:title=""/>
              <o:lock v:ext="edit" aspectratio="f"/>
              <v:textbox inset="0mm,0mm,0mm,0mm" style="mso-fit-shape-to-text:t;">
                <w:txbxContent>
                  <w:p>
                    <w:pPr>
                      <w:pStyle w:val="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Y3ZLIAQAAmw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1YUuK4xYlffv64/Ppz+f2doA8F6gPUmHcfMDMN7/yAybMf0Jl5Dyra/EVGBOMo7/kqrxwS&#10;EfnRerVeVxgSGJsviM8enocI6b30lmSjoRHnV2Tlp4+QxtQ5JVdz/k4bU2Zo3D8OxMwelnsfe8xW&#10;GvbDRGjv2zPy6XH0DXW46ZSYDw6VzVsyG3E29rNxDFEfurJGuR6E22PCJkpvucIIOxXGmRV2037l&#10;pXh8L1kP/9T2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XGN2SyAEAAJsDAAAOAAAAAAAA&#10;AAEAIAAAADQBAABkcnMvZTJvRG9jLnhtbFBLBQYAAAAABgAGAFkBAABuBQAAAAA=&#10;">
              <v:fill on="f" focussize="0,0"/>
              <v:stroke on="f"/>
              <v:imagedata o:title=""/>
              <o:lock v:ext="edit" aspectratio="f"/>
              <v:textbox inset="0mm,0mm,0mm,0mm" style="mso-fit-shape-to-text:t;">
                <w:txbxContent>
                  <w:p>
                    <w:pPr>
                      <w:pStyle w:val="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tkm6skBAACbAwAADgAAAAAA&#10;AAABACAAAAA0AQAAZHJzL2Uyb0RvYy54bWxQSwUGAAAAAAYABgBZAQAAbwUAAAAA&#10;">
              <v:fill on="f" focussize="0,0"/>
              <v:stroke on="f"/>
              <v:imagedata o:title=""/>
              <o:lock v:ext="edit" aspectratio="f"/>
              <v:textbox inset="0mm,0mm,0mm,0mm" style="mso-fit-shape-to-text:t;">
                <w:txbxContent>
                  <w:p>
                    <w:pPr>
                      <w:pStyle w:val="9"/>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988"/>
      </w:tabs>
      <w:ind w:left="315" w:leftChars="150" w:right="315" w:rightChars="150"/>
      <w:jc w:val="left"/>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-86360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6.8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MdiPQNUAAAAIAQAADwAAAAAA&#10;AAABACAAAAA4AAAAZHJzL2Rvd25yZXYueG1sUEsBAhQAFAAAAAgAh07iQPQJJ5fHAQAAmQMAAA4A&#10;AAAAAAAAAQAgAAAAOgEAAGRycy9lMm9Eb2MueG1sUEsFBgAAAAAGAAYAWQEAAHMFAAAAAA==&#10;">
              <v:fill on="f" focussize="0,0"/>
              <v:stroke on="f"/>
              <v:imagedata o:title=""/>
              <o:lock v:ext="edit" aspectratio="f"/>
              <v:textbox inset="0mm,0mm,0mm,0mm" style="mso-fit-shape-to-text:t;">
                <w:txbxContent>
                  <w:p>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r>
      <w:rPr>
        <w:rFonts w:hint="eastAsia"/>
        <w:lang w:eastAsia="zh-CN"/>
      </w:rPr>
      <w:tab/>
    </w:r>
    <w:r>
      <w:rPr>
        <w:rFonts w:hint="eastAsia"/>
        <w:lang w:eastAsia="zh-CN"/>
      </w:rPr>
      <w:tab/>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-86360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8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DXwLEO1gAAAAgBAAAPAAAAAAAAAAEAIAAA&#10;ADgAAABkcnMvZG93bnJldi54bWxQSwECFAAUAAAACACHTuJAa4X5+zECAABhBAAADgAAAAAAAAAB&#10;ACAAAAA7AQAAZHJzL2Uyb0RvYy54bWxQSwUGAAAAAAYABgBZAQAA3gU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2"/>
      </w:pPr>
      <w:r>
        <w:rPr>
          <w:rStyle w:val="19"/>
        </w:rPr>
        <w:footnoteRef/>
      </w:r>
      <w:r>
        <w:t xml:space="preserve"> </w:t>
      </w:r>
      <w:r>
        <w:rPr>
          <w:rFonts w:hint="eastAsia"/>
        </w:rPr>
        <w:t>“</w:t>
      </w:r>
      <w:r>
        <w:rPr>
          <w:rFonts w:hint="eastAsia" w:ascii="汉仪叶叶相思体简" w:hAnsi="汉仪叶叶相思体简" w:eastAsia="汉仪叶叶相思体简" w:cs="汉仪叶叶相思体简"/>
          <w:b/>
          <w:bCs/>
          <w:sz w:val="21"/>
          <w:szCs w:val="21"/>
        </w:rPr>
        <w:t>★</w:t>
      </w:r>
      <w:r>
        <w:rPr>
          <w:rFonts w:hint="eastAsia"/>
        </w:rPr>
        <w:t>”为数字经济核心产业标识，下同。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000000" w:sz="0" w:space="1"/>
      </w:pBdr>
      <w:tabs>
        <w:tab w:val="left" w:pos="9412"/>
      </w:tabs>
      <w:rPr>
        <w:rFonts w:hint="default"/>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DkjEckBAACZAwAADgAAAAAA&#10;AAABACAAAAA0AQAAZHJzL2Uyb0RvYy54bWxQSwUGAAAAAAYABgBZAQAAbwUAAAAA&#10;">
              <v:fill on="f" focussize="0,0"/>
              <v:stroke on="f"/>
              <v:imagedata o:title=""/>
              <o:lock v:ext="edit" aspectratio="f"/>
              <v:textbox inset="0mm,0mm,0mm,0mm" style="mso-fit-shape-to-text:t;">
                <w:txbxContent>
                  <w:p>
                    <w:pPr>
                      <w:pStyle w:val="10"/>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9412"/>
      </w:tabs>
      <w:rPr>
        <w:rFonts w:hint="default"/>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flCbJAQAAmQ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F+UJskBAACZAwAADgAAAAAA&#10;AAABACAAAAA0AQAAZHJzL2Uyb0RvYy54bWxQSwUGAAAAAAYABgBZAQAAbwUAAAAA&#10;">
              <v:fill on="f" focussize="0,0"/>
              <v:stroke on="f"/>
              <v:imagedata o:title=""/>
              <o:lock v:ext="edit" aspectratio="f"/>
              <v:textbox inset="0mm,0mm,0mm,0mm" style="mso-fit-shape-to-text:t;">
                <w:txbxContent>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bidi w:val="0"/>
      <w:rPr>
        <w:rFonts w:hint="default"/>
        <w:sz w:val="18"/>
      </w:rPr>
    </w:pPr>
    <w:r>
      <mc:AlternateContent>
        <mc:Choice Requires="wps">
          <w:drawing>
            <wp:anchor distT="0" distB="0" distL="114300" distR="114300" simplePos="0" relativeHeight="251659264" behindDoc="0" locked="0" layoutInCell="1" allowOverlap="1">
              <wp:simplePos x="0" y="0"/>
              <wp:positionH relativeFrom="margin">
                <wp:posOffset>5731510</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Bdr>
                              <w:top w:val="none" w:color="auto" w:sz="0" w:space="0"/>
                              <w:left w:val="none" w:color="auto" w:sz="0" w:space="0"/>
                              <w:bottom w:val="none" w:color="auto" w:sz="0" w:space="1"/>
                              <w:right w:val="none" w:color="auto" w:sz="0" w:space="0"/>
                              <w:between w:val="none" w:color="auto" w:sz="0" w:space="0"/>
                            </w:pBdr>
                            <w:rPr>
                              <w:u w:val="none"/>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451.3pt;margin-top:0pt;height:144pt;width:144pt;mso-position-horizontal-relative:margin;mso-wrap-style:none;z-index:251659264;mso-width-relative:page;mso-height-relative:page;" filled="f" stroked="f" coordsize="21600,21600" o:gfxdata="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BnKmht0wAAAAkBAAAPAAAAAAAA&#10;AAEAIAAAADgAAABkcnMvZG93bnJldi54bWxQSwECFAAUAAAACACHTuJANJL6ScgBAACZAwAADgAA&#10;AAAAAAABACAAAAA4AQAAZHJzL2Uyb0RvYy54bWxQSwUGAAAAAAYABgBZAQAAcgUAAAAA&#10;">
              <v:fill on="f" focussize="0,0"/>
              <v:stroke on="f"/>
              <v:imagedata o:title=""/>
              <o:lock v:ext="edit" aspectratio="f"/>
              <v:textbox inset="0mm,0mm,0mm,0mm" style="mso-fit-shape-to-text:t;">
                <w:txbxContent>
                  <w:p>
                    <w:pPr>
                      <w:pStyle w:val="10"/>
                      <w:pBdr>
                        <w:top w:val="none" w:color="auto" w:sz="0" w:space="0"/>
                        <w:left w:val="none" w:color="auto" w:sz="0" w:space="0"/>
                        <w:bottom w:val="none" w:color="auto" w:sz="0" w:space="1"/>
                        <w:right w:val="none" w:color="auto" w:sz="0" w:space="0"/>
                        <w:between w:val="none" w:color="auto" w:sz="0" w:space="0"/>
                      </w:pBdr>
                      <w:rPr>
                        <w:u w:val="none"/>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10FC6"/>
    <w:rsid w:val="00BC6550"/>
    <w:rsid w:val="00C615D7"/>
    <w:rsid w:val="00D074CA"/>
    <w:rsid w:val="01E92401"/>
    <w:rsid w:val="02730DE9"/>
    <w:rsid w:val="02BB306F"/>
    <w:rsid w:val="0302405A"/>
    <w:rsid w:val="03F86B1C"/>
    <w:rsid w:val="05705DB7"/>
    <w:rsid w:val="06707CBE"/>
    <w:rsid w:val="06F40898"/>
    <w:rsid w:val="077E558A"/>
    <w:rsid w:val="07CD3E58"/>
    <w:rsid w:val="08F5086E"/>
    <w:rsid w:val="0C9B098C"/>
    <w:rsid w:val="0CD47050"/>
    <w:rsid w:val="0CFF230A"/>
    <w:rsid w:val="0EE42328"/>
    <w:rsid w:val="10687DDF"/>
    <w:rsid w:val="109A1709"/>
    <w:rsid w:val="115F7911"/>
    <w:rsid w:val="11985D75"/>
    <w:rsid w:val="134520E9"/>
    <w:rsid w:val="13D1738A"/>
    <w:rsid w:val="13E10FC6"/>
    <w:rsid w:val="14223741"/>
    <w:rsid w:val="14494C2B"/>
    <w:rsid w:val="15CD7EBA"/>
    <w:rsid w:val="15EB6157"/>
    <w:rsid w:val="16566867"/>
    <w:rsid w:val="16D22081"/>
    <w:rsid w:val="17381572"/>
    <w:rsid w:val="18131B79"/>
    <w:rsid w:val="18704D6F"/>
    <w:rsid w:val="18923603"/>
    <w:rsid w:val="1B083691"/>
    <w:rsid w:val="1C65583A"/>
    <w:rsid w:val="1CF0262F"/>
    <w:rsid w:val="1D57721C"/>
    <w:rsid w:val="1D7C3EC2"/>
    <w:rsid w:val="1ED92FE4"/>
    <w:rsid w:val="1F274381"/>
    <w:rsid w:val="1F3B50DC"/>
    <w:rsid w:val="1F4F00F8"/>
    <w:rsid w:val="1F680515"/>
    <w:rsid w:val="1FBE5591"/>
    <w:rsid w:val="206155F1"/>
    <w:rsid w:val="216A53EB"/>
    <w:rsid w:val="22EA4CC8"/>
    <w:rsid w:val="23466708"/>
    <w:rsid w:val="24424E18"/>
    <w:rsid w:val="246A4D86"/>
    <w:rsid w:val="24F44686"/>
    <w:rsid w:val="25EC5715"/>
    <w:rsid w:val="26D07F60"/>
    <w:rsid w:val="271E2F8F"/>
    <w:rsid w:val="29287359"/>
    <w:rsid w:val="2C3F7141"/>
    <w:rsid w:val="2C42149A"/>
    <w:rsid w:val="2D4A7188"/>
    <w:rsid w:val="2D757ECE"/>
    <w:rsid w:val="2FC40A33"/>
    <w:rsid w:val="300366D0"/>
    <w:rsid w:val="32211531"/>
    <w:rsid w:val="339733AC"/>
    <w:rsid w:val="3426145E"/>
    <w:rsid w:val="34B21001"/>
    <w:rsid w:val="35812BDD"/>
    <w:rsid w:val="35AB75E3"/>
    <w:rsid w:val="370525CD"/>
    <w:rsid w:val="38023CE8"/>
    <w:rsid w:val="38242728"/>
    <w:rsid w:val="3B7FEB95"/>
    <w:rsid w:val="3D4F66BA"/>
    <w:rsid w:val="3DC661C4"/>
    <w:rsid w:val="3DDE22DB"/>
    <w:rsid w:val="3DE603E2"/>
    <w:rsid w:val="3DF31B63"/>
    <w:rsid w:val="3E3327EF"/>
    <w:rsid w:val="3F4A463C"/>
    <w:rsid w:val="3FB720D7"/>
    <w:rsid w:val="402810A1"/>
    <w:rsid w:val="40AD06B3"/>
    <w:rsid w:val="41C43D4D"/>
    <w:rsid w:val="41F3501B"/>
    <w:rsid w:val="43D441A9"/>
    <w:rsid w:val="43DB49CD"/>
    <w:rsid w:val="4461090F"/>
    <w:rsid w:val="45F36B68"/>
    <w:rsid w:val="465D0485"/>
    <w:rsid w:val="475A017F"/>
    <w:rsid w:val="47DA11D3"/>
    <w:rsid w:val="494B5B5B"/>
    <w:rsid w:val="4AFA13DB"/>
    <w:rsid w:val="4B884258"/>
    <w:rsid w:val="4C3B09EE"/>
    <w:rsid w:val="4E01668A"/>
    <w:rsid w:val="50830AE8"/>
    <w:rsid w:val="5087644A"/>
    <w:rsid w:val="520B3753"/>
    <w:rsid w:val="52C8476D"/>
    <w:rsid w:val="52E26027"/>
    <w:rsid w:val="55482300"/>
    <w:rsid w:val="55996E4E"/>
    <w:rsid w:val="56D4209E"/>
    <w:rsid w:val="57747B59"/>
    <w:rsid w:val="57D137EB"/>
    <w:rsid w:val="591E0141"/>
    <w:rsid w:val="593B28A8"/>
    <w:rsid w:val="5A3572F7"/>
    <w:rsid w:val="5C591B4C"/>
    <w:rsid w:val="5D042FB1"/>
    <w:rsid w:val="5DD15589"/>
    <w:rsid w:val="5E8412B9"/>
    <w:rsid w:val="5EAE1DF9"/>
    <w:rsid w:val="5EC32CBD"/>
    <w:rsid w:val="5F267995"/>
    <w:rsid w:val="5F8A1192"/>
    <w:rsid w:val="60DF3EBE"/>
    <w:rsid w:val="61093DC4"/>
    <w:rsid w:val="612358EA"/>
    <w:rsid w:val="6230482F"/>
    <w:rsid w:val="64915A72"/>
    <w:rsid w:val="65962C14"/>
    <w:rsid w:val="659B3349"/>
    <w:rsid w:val="66C2204A"/>
    <w:rsid w:val="674202F3"/>
    <w:rsid w:val="68581244"/>
    <w:rsid w:val="69AC3DC2"/>
    <w:rsid w:val="6A9260A0"/>
    <w:rsid w:val="6AD00976"/>
    <w:rsid w:val="6B112D0F"/>
    <w:rsid w:val="6B270E0B"/>
    <w:rsid w:val="6BCD6AF8"/>
    <w:rsid w:val="6BEA5A68"/>
    <w:rsid w:val="6C5F6CD1"/>
    <w:rsid w:val="6C66775B"/>
    <w:rsid w:val="6CFE0EE6"/>
    <w:rsid w:val="6E86607D"/>
    <w:rsid w:val="6EFF6FFF"/>
    <w:rsid w:val="703B4AE4"/>
    <w:rsid w:val="703E7571"/>
    <w:rsid w:val="70875EBA"/>
    <w:rsid w:val="712F289B"/>
    <w:rsid w:val="71993B29"/>
    <w:rsid w:val="727442DD"/>
    <w:rsid w:val="72B8241C"/>
    <w:rsid w:val="73494244"/>
    <w:rsid w:val="737FE17B"/>
    <w:rsid w:val="73FE1137"/>
    <w:rsid w:val="755A550D"/>
    <w:rsid w:val="757BC57A"/>
    <w:rsid w:val="758C4181"/>
    <w:rsid w:val="759E1430"/>
    <w:rsid w:val="778B1880"/>
    <w:rsid w:val="78607595"/>
    <w:rsid w:val="78E52F49"/>
    <w:rsid w:val="7BA06143"/>
    <w:rsid w:val="7BF635A5"/>
    <w:rsid w:val="7BFBE9DE"/>
    <w:rsid w:val="7C4D6CFD"/>
    <w:rsid w:val="7C8746F2"/>
    <w:rsid w:val="7D1352F5"/>
    <w:rsid w:val="7D1FA64B"/>
    <w:rsid w:val="7D292894"/>
    <w:rsid w:val="7D8D421E"/>
    <w:rsid w:val="7E474AC8"/>
    <w:rsid w:val="7EF0118E"/>
    <w:rsid w:val="7F0569E9"/>
    <w:rsid w:val="7F4F0FB0"/>
    <w:rsid w:val="7F6718D6"/>
    <w:rsid w:val="7FF7F843"/>
    <w:rsid w:val="7FFF7CF0"/>
    <w:rsid w:val="AE564EEC"/>
    <w:rsid w:val="B30F9387"/>
    <w:rsid w:val="B9FF5C61"/>
    <w:rsid w:val="BDEF2A62"/>
    <w:rsid w:val="BFFFC6FA"/>
    <w:rsid w:val="C6BB355E"/>
    <w:rsid w:val="D5DF5952"/>
    <w:rsid w:val="DD7E08CE"/>
    <w:rsid w:val="DF7B11CD"/>
    <w:rsid w:val="E4A7E0DA"/>
    <w:rsid w:val="E72668F5"/>
    <w:rsid w:val="E75D3C7E"/>
    <w:rsid w:val="ECEE0775"/>
    <w:rsid w:val="EEEB859A"/>
    <w:rsid w:val="F58E925E"/>
    <w:rsid w:val="F74FEC15"/>
    <w:rsid w:val="FB7E8328"/>
    <w:rsid w:val="FDE7DFB4"/>
    <w:rsid w:val="FF3EF205"/>
    <w:rsid w:val="FFEF9835"/>
    <w:rsid w:val="FFFB5ADF"/>
    <w:rsid w:val="FFFE1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rFonts w:ascii="Times New Roman" w:hAnsi="Times New Roman" w:eastAsia="宋体" w:cs="Times New Roman"/>
      <w:b/>
      <w:kern w:val="44"/>
      <w:sz w:val="44"/>
      <w:lang w:val="en-US" w:eastAsia="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qFormat/>
    <w:uiPriority w:val="0"/>
    <w:pPr>
      <w:adjustRightInd w:val="0"/>
      <w:snapToGrid w:val="0"/>
      <w:spacing w:line="590" w:lineRule="exact"/>
      <w:ind w:firstLine="630"/>
    </w:pPr>
    <w:rPr>
      <w:rFonts w:ascii="方正仿宋_GBK"/>
      <w:snapToGrid/>
    </w:rPr>
  </w:style>
  <w:style w:type="paragraph" w:styleId="5">
    <w:name w:val="annotation text"/>
    <w:basedOn w:val="1"/>
    <w:qFormat/>
    <w:uiPriority w:val="0"/>
    <w:pPr>
      <w:jc w:val="left"/>
    </w:pPr>
    <w:rPr>
      <w:rFonts w:ascii="Times New Roman" w:hAnsi="Times New Roman" w:eastAsia="宋体" w:cs="Times New Roman"/>
      <w:kern w:val="2"/>
      <w:sz w:val="24"/>
      <w:lang w:val="en-US" w:eastAsia="zh-CN"/>
    </w:rPr>
  </w:style>
  <w:style w:type="paragraph" w:styleId="6">
    <w:name w:val="Salutation"/>
    <w:basedOn w:val="1"/>
    <w:next w:val="1"/>
    <w:qFormat/>
    <w:uiPriority w:val="0"/>
  </w:style>
  <w:style w:type="paragraph" w:styleId="7">
    <w:name w:val="Body Text"/>
    <w:basedOn w:val="1"/>
    <w:qFormat/>
    <w:uiPriority w:val="0"/>
    <w:pPr>
      <w:spacing w:before="100" w:beforeAutospacing="1" w:after="120"/>
    </w:pPr>
    <w:rPr>
      <w:rFonts w:ascii="Times New Roman" w:hAnsi="Times New Roman" w:eastAsia="仿宋_GB2312" w:cs="Arial"/>
      <w:sz w:val="32"/>
      <w:szCs w:val="22"/>
    </w:rPr>
  </w:style>
  <w:style w:type="paragraph" w:styleId="8">
    <w:name w:val="Plain Text"/>
    <w:basedOn w:val="1"/>
    <w:qFormat/>
    <w:uiPriority w:val="0"/>
    <w:rPr>
      <w:rFonts w:ascii="宋体" w:hAnsi="Courier New" w:eastAsia="宋体" w:cs="Times New Roman"/>
      <w:kern w:val="2"/>
      <w:sz w:val="21"/>
      <w:lang w:val="en-US" w:eastAsia="zh-CN"/>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rPr>
      <w:rFonts w:ascii="Times New Roman" w:hAnsi="Times New Roman" w:eastAsia="宋体" w:cs="Times New Roman"/>
      <w:szCs w:val="20"/>
    </w:rPr>
  </w:style>
  <w:style w:type="paragraph" w:styleId="12">
    <w:name w:val="footnote text"/>
    <w:basedOn w:val="1"/>
    <w:qFormat/>
    <w:uiPriority w:val="0"/>
    <w:pPr>
      <w:snapToGrid w:val="0"/>
      <w:jc w:val="left"/>
    </w:pPr>
    <w:rPr>
      <w:rFonts w:ascii="Times New Roman" w:hAnsi="Times New Roman" w:eastAsia="宋体" w:cs="Times New Roman"/>
      <w:kern w:val="2"/>
      <w:sz w:val="18"/>
    </w:rPr>
  </w:style>
  <w:style w:type="paragraph" w:styleId="13">
    <w:name w:val="toc 2"/>
    <w:basedOn w:val="1"/>
    <w:next w:val="1"/>
    <w:qFormat/>
    <w:uiPriority w:val="0"/>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otnote reference"/>
    <w:qFormat/>
    <w:uiPriority w:val="0"/>
    <w:rPr>
      <w:rFonts w:ascii="Times New Roman" w:hAnsi="Times New Roman" w:eastAsia="宋体" w:cs="Times New Roman"/>
      <w:vertAlign w:val="superscript"/>
    </w:rPr>
  </w:style>
  <w:style w:type="paragraph" w:customStyle="1" w:styleId="20">
    <w:name w:val="Compact"/>
    <w:basedOn w:val="7"/>
    <w:qFormat/>
    <w:uiPriority w:val="0"/>
    <w:pPr>
      <w:spacing w:before="36" w:after="36"/>
    </w:pPr>
  </w:style>
  <w:style w:type="paragraph" w:customStyle="1" w:styleId="2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2">
    <w:name w:val="font51"/>
    <w:basedOn w:val="18"/>
    <w:qFormat/>
    <w:uiPriority w:val="0"/>
    <w:rPr>
      <w:rFonts w:hint="default" w:ascii="Times New Roman" w:hAnsi="Times New Roman" w:cs="Times New Roman"/>
      <w:color w:val="000000"/>
      <w:sz w:val="22"/>
      <w:szCs w:val="22"/>
      <w:u w:val="none"/>
    </w:rPr>
  </w:style>
  <w:style w:type="character" w:customStyle="1" w:styleId="23">
    <w:name w:val="font41"/>
    <w:basedOn w:val="18"/>
    <w:qFormat/>
    <w:uiPriority w:val="0"/>
    <w:rPr>
      <w:rFonts w:hint="eastAsia" w:ascii="宋体" w:hAnsi="宋体" w:eastAsia="宋体" w:cs="宋体"/>
      <w:color w:val="000000"/>
      <w:sz w:val="22"/>
      <w:szCs w:val="22"/>
      <w:u w:val="none"/>
    </w:rPr>
  </w:style>
  <w:style w:type="character" w:customStyle="1" w:styleId="24">
    <w:name w:val="font61"/>
    <w:basedOn w:val="18"/>
    <w:qFormat/>
    <w:uiPriority w:val="0"/>
    <w:rPr>
      <w:rFonts w:hint="default" w:ascii="Times New Roman" w:hAnsi="Times New Roman" w:cs="Times New Roman"/>
      <w:color w:val="000000"/>
      <w:sz w:val="20"/>
      <w:szCs w:val="20"/>
      <w:u w:val="none"/>
    </w:rPr>
  </w:style>
  <w:style w:type="character" w:customStyle="1" w:styleId="25">
    <w:name w:val="font71"/>
    <w:basedOn w:val="18"/>
    <w:qFormat/>
    <w:uiPriority w:val="0"/>
    <w:rPr>
      <w:rFonts w:hint="eastAsia" w:ascii="宋体" w:hAnsi="宋体" w:eastAsia="宋体" w:cs="宋体"/>
      <w:color w:val="000000"/>
      <w:sz w:val="20"/>
      <w:szCs w:val="20"/>
      <w:u w:val="none"/>
    </w:rPr>
  </w:style>
  <w:style w:type="character" w:customStyle="1" w:styleId="26">
    <w:name w:val="font31"/>
    <w:basedOn w:val="18"/>
    <w:qFormat/>
    <w:uiPriority w:val="0"/>
    <w:rPr>
      <w:rFonts w:hint="eastAsia" w:ascii="宋体" w:hAnsi="宋体" w:eastAsia="宋体" w:cs="宋体"/>
      <w:color w:val="171A1D"/>
      <w:sz w:val="28"/>
      <w:szCs w:val="28"/>
      <w:u w:val="none"/>
    </w:rPr>
  </w:style>
  <w:style w:type="paragraph" w:customStyle="1" w:styleId="27">
    <w:name w:val="标题1"/>
    <w:next w:val="1"/>
    <w:qFormat/>
    <w:uiPriority w:val="0"/>
    <w:pPr>
      <w:spacing w:after="312" w:afterLines="100"/>
      <w:jc w:val="center"/>
    </w:pPr>
    <w:rPr>
      <w:rFonts w:ascii="黑体" w:hAnsi="Calibri" w:eastAsia="黑体" w:cs="Times New Roman"/>
      <w:sz w:val="33"/>
      <w:szCs w:val="22"/>
      <w:lang w:val="en-US" w:eastAsia="zh-CN" w:bidi="ar-SA"/>
    </w:rPr>
  </w:style>
  <w:style w:type="character" w:customStyle="1" w:styleId="28">
    <w:name w:val="fontstyle01"/>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2468</Words>
  <Characters>2575</Characters>
  <Lines>0</Lines>
  <Paragraphs>0</Paragraphs>
  <TotalTime>1</TotalTime>
  <ScaleCrop>false</ScaleCrop>
  <LinksUpToDate>false</LinksUpToDate>
  <CharactersWithSpaces>2647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2025-08-19T16:05:00Z</dcterms:created>
  <dc:creator>陈玉勇</dc:creator>
  <cp:lastModifiedBy>greatwall</cp:lastModifiedBy>
  <cp:lastPrinted>2025-12-25T16:32:00Z</cp:lastPrinted>
  <dcterms:modified xsi:type="dcterms:W3CDTF">2026-01-09T08:54:17Z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9C23BC22B3DF1770B95160690EB6F728</vt:lpwstr>
  </property>
  <property fmtid="{D5CDD505-2E9C-101B-9397-08002B2CF9AE}" pid="4" name="KSOTemplateDocerSaveRecord">
    <vt:lpwstr>eyJoZGlkIjoiM2E3ZGRiOWQxN2ZhYjAzN2I1YjA2ZDcwZTIxYTE2ZDkiLCJ1c2VySWQiOiIzMTQ5ODc4NTYifQ==</vt:lpwstr>
  </property>
</Properties>
</file>